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6BC77" w14:textId="77777777" w:rsidR="001F0066" w:rsidRDefault="007C1F7C" w:rsidP="002034D7">
      <w:pPr>
        <w:pStyle w:val="Corpotesto"/>
        <w:spacing w:line="360" w:lineRule="auto"/>
        <w:jc w:val="center"/>
        <w:rPr>
          <w:rFonts w:ascii="Times New Roman"/>
          <w:sz w:val="20"/>
        </w:rPr>
      </w:pPr>
      <w:r>
        <w:rPr>
          <w:rFonts w:ascii="Times New Roman"/>
          <w:noProof/>
          <w:sz w:val="20"/>
          <w:lang w:bidi="ar-SA"/>
        </w:rPr>
        <w:drawing>
          <wp:inline distT="0" distB="0" distL="0" distR="0" wp14:anchorId="0BC0B7C0" wp14:editId="7B5606BB">
            <wp:extent cx="878205" cy="682625"/>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205" cy="682625"/>
                    </a:xfrm>
                    <a:prstGeom prst="rect">
                      <a:avLst/>
                    </a:prstGeom>
                    <a:noFill/>
                  </pic:spPr>
                </pic:pic>
              </a:graphicData>
            </a:graphic>
          </wp:inline>
        </w:drawing>
      </w:r>
    </w:p>
    <w:p w14:paraId="37681761" w14:textId="02542E7E" w:rsidR="001A52E9" w:rsidRPr="007C1F7C" w:rsidRDefault="007C1F7C" w:rsidP="001A52E9">
      <w:pPr>
        <w:pStyle w:val="Corpotesto"/>
        <w:spacing w:line="360" w:lineRule="auto"/>
        <w:ind w:left="5040" w:hanging="4473"/>
        <w:rPr>
          <w:rFonts w:ascii="Times New Roman"/>
          <w:i/>
          <w:sz w:val="20"/>
        </w:rPr>
      </w:pPr>
      <w:r w:rsidRPr="007C1F7C">
        <w:rPr>
          <w:rFonts w:ascii="Times New Roman"/>
          <w:i/>
          <w:sz w:val="20"/>
        </w:rPr>
        <w:t>ASP Emanuele Brignole Genova</w:t>
      </w:r>
      <w:r w:rsidR="001A52E9" w:rsidRPr="001A52E9">
        <w:rPr>
          <w:rFonts w:ascii="Times New Roman"/>
          <w:i/>
          <w:sz w:val="20"/>
        </w:rPr>
        <w:t xml:space="preserve"> </w:t>
      </w:r>
      <w:r w:rsidR="001A52E9">
        <w:rPr>
          <w:rFonts w:ascii="Times New Roman"/>
          <w:i/>
          <w:sz w:val="20"/>
        </w:rPr>
        <w:tab/>
      </w:r>
      <w:r w:rsidR="001A52E9">
        <w:rPr>
          <w:rFonts w:ascii="Times New Roman"/>
          <w:i/>
          <w:sz w:val="20"/>
        </w:rPr>
        <w:tab/>
      </w:r>
      <w:r w:rsidR="001A52E9">
        <w:rPr>
          <w:rFonts w:ascii="Times New Roman"/>
          <w:i/>
          <w:sz w:val="20"/>
        </w:rPr>
        <w:tab/>
      </w:r>
      <w:r w:rsidR="001A52E9">
        <w:rPr>
          <w:rFonts w:ascii="Times New Roman"/>
          <w:i/>
          <w:sz w:val="20"/>
        </w:rPr>
        <w:tab/>
        <w:t>Emanuele Brignole Servizi Srl</w:t>
      </w:r>
    </w:p>
    <w:p w14:paraId="78FFAADE" w14:textId="0750DFA6" w:rsidR="001F0066" w:rsidRPr="001A52E9" w:rsidRDefault="001A52E9" w:rsidP="001A52E9">
      <w:pPr>
        <w:pStyle w:val="Corpotesto"/>
        <w:spacing w:line="360" w:lineRule="auto"/>
        <w:ind w:left="567"/>
        <w:rPr>
          <w:rFonts w:ascii="Times New Roman"/>
          <w:i/>
          <w:sz w:val="20"/>
        </w:rPr>
      </w:pPr>
      <w:r w:rsidRPr="00084323">
        <w:rPr>
          <w:rFonts w:ascii="Times New Roman"/>
          <w:i/>
          <w:sz w:val="20"/>
        </w:rPr>
        <w:t>Azienda P</w:t>
      </w:r>
      <w:r>
        <w:rPr>
          <w:rFonts w:ascii="Times New Roman"/>
          <w:i/>
          <w:sz w:val="20"/>
        </w:rPr>
        <w:t>ubblica di Servizi alla Persona</w:t>
      </w:r>
      <w:r>
        <w:rPr>
          <w:rFonts w:ascii="Times New Roman"/>
          <w:i/>
          <w:sz w:val="20"/>
        </w:rPr>
        <w:tab/>
      </w:r>
      <w:r w:rsidR="007C1F7C">
        <w:rPr>
          <w:rFonts w:ascii="Times New Roman"/>
          <w:i/>
          <w:sz w:val="20"/>
        </w:rPr>
        <w:t xml:space="preserve"> </w:t>
      </w:r>
    </w:p>
    <w:p w14:paraId="034AF76B" w14:textId="77777777" w:rsidR="001F0066" w:rsidRDefault="001F0066" w:rsidP="002034D7">
      <w:pPr>
        <w:pStyle w:val="Corpotesto"/>
        <w:spacing w:line="360" w:lineRule="auto"/>
        <w:rPr>
          <w:rFonts w:ascii="Times New Roman"/>
          <w:sz w:val="20"/>
        </w:rPr>
      </w:pPr>
    </w:p>
    <w:p w14:paraId="6E028595" w14:textId="644C8F22" w:rsidR="001F0066" w:rsidRDefault="001F0066" w:rsidP="002034D7">
      <w:pPr>
        <w:pStyle w:val="Corpotesto"/>
        <w:spacing w:before="5" w:line="360" w:lineRule="auto"/>
        <w:rPr>
          <w:rFonts w:ascii="Times New Roman"/>
          <w:sz w:val="17"/>
        </w:rPr>
      </w:pPr>
    </w:p>
    <w:p w14:paraId="681C06C2" w14:textId="7B532A95" w:rsidR="001A52E9" w:rsidRDefault="001A52E9" w:rsidP="002034D7">
      <w:pPr>
        <w:pStyle w:val="Corpotesto"/>
        <w:spacing w:before="5" w:line="360" w:lineRule="auto"/>
        <w:rPr>
          <w:rFonts w:ascii="Times New Roman"/>
          <w:sz w:val="17"/>
        </w:rPr>
      </w:pPr>
    </w:p>
    <w:p w14:paraId="409591B0" w14:textId="4838C539" w:rsidR="001A52E9" w:rsidRDefault="001A52E9" w:rsidP="002034D7">
      <w:pPr>
        <w:pStyle w:val="Corpotesto"/>
        <w:spacing w:before="5" w:line="360" w:lineRule="auto"/>
        <w:rPr>
          <w:rFonts w:ascii="Times New Roman"/>
          <w:sz w:val="17"/>
        </w:rPr>
      </w:pPr>
    </w:p>
    <w:p w14:paraId="44F2E8A9" w14:textId="77777777" w:rsidR="001A52E9" w:rsidRDefault="001A52E9" w:rsidP="002034D7">
      <w:pPr>
        <w:pStyle w:val="Corpotesto"/>
        <w:spacing w:before="5" w:line="360" w:lineRule="auto"/>
        <w:rPr>
          <w:rFonts w:ascii="Times New Roman"/>
          <w:sz w:val="17"/>
        </w:rPr>
      </w:pPr>
    </w:p>
    <w:p w14:paraId="71CB8A6E" w14:textId="77777777" w:rsidR="001F0066" w:rsidRDefault="00EE2012" w:rsidP="001A52E9">
      <w:pPr>
        <w:spacing w:before="100" w:line="360" w:lineRule="auto"/>
        <w:ind w:left="993" w:right="850"/>
        <w:jc w:val="center"/>
        <w:rPr>
          <w:b/>
          <w:sz w:val="24"/>
        </w:rPr>
      </w:pPr>
      <w:r>
        <w:rPr>
          <w:b/>
          <w:sz w:val="24"/>
        </w:rPr>
        <w:t>PIANO TRIENNALE DI PREVENZIONE DELLA CORRUZIONE AI SENSI DELLA LEGGE 190/2012</w:t>
      </w:r>
    </w:p>
    <w:p w14:paraId="288AA50F" w14:textId="03762D9C" w:rsidR="001F0066" w:rsidRDefault="00EE2012" w:rsidP="001A52E9">
      <w:pPr>
        <w:spacing w:before="3" w:line="360" w:lineRule="auto"/>
        <w:ind w:left="993" w:right="850"/>
        <w:jc w:val="center"/>
        <w:rPr>
          <w:b/>
          <w:sz w:val="24"/>
        </w:rPr>
      </w:pPr>
      <w:r>
        <w:rPr>
          <w:b/>
          <w:sz w:val="24"/>
        </w:rPr>
        <w:t>E</w:t>
      </w:r>
      <w:r w:rsidR="001A52E9">
        <w:rPr>
          <w:b/>
          <w:sz w:val="24"/>
        </w:rPr>
        <w:t xml:space="preserve"> </w:t>
      </w:r>
    </w:p>
    <w:p w14:paraId="69EAF71B" w14:textId="77777777" w:rsidR="001F0066" w:rsidRDefault="00EE2012" w:rsidP="001A52E9">
      <w:pPr>
        <w:spacing w:before="244" w:line="360" w:lineRule="auto"/>
        <w:ind w:left="993" w:right="850" w:hanging="228"/>
        <w:jc w:val="center"/>
        <w:rPr>
          <w:b/>
          <w:sz w:val="24"/>
        </w:rPr>
      </w:pPr>
      <w:r>
        <w:rPr>
          <w:b/>
          <w:sz w:val="24"/>
        </w:rPr>
        <w:t>PROGRAMMA TRIENNALE PER LA TRASPARENZA E INTEGRITÀ AI SENSI DEL D.LGS</w:t>
      </w:r>
      <w:r>
        <w:rPr>
          <w:b/>
          <w:spacing w:val="-7"/>
          <w:sz w:val="24"/>
        </w:rPr>
        <w:t xml:space="preserve"> </w:t>
      </w:r>
      <w:r>
        <w:rPr>
          <w:b/>
          <w:sz w:val="24"/>
        </w:rPr>
        <w:t>33/2013</w:t>
      </w:r>
    </w:p>
    <w:p w14:paraId="7616ABA9" w14:textId="77777777" w:rsidR="001F0066" w:rsidRDefault="001F0066" w:rsidP="002034D7">
      <w:pPr>
        <w:pStyle w:val="Corpotesto"/>
        <w:spacing w:line="360" w:lineRule="auto"/>
        <w:rPr>
          <w:b/>
          <w:sz w:val="28"/>
        </w:rPr>
      </w:pPr>
    </w:p>
    <w:p w14:paraId="5EC45EF7" w14:textId="77777777" w:rsidR="001F0066" w:rsidRDefault="001F0066" w:rsidP="002034D7">
      <w:pPr>
        <w:pStyle w:val="Corpotesto"/>
        <w:spacing w:line="360" w:lineRule="auto"/>
        <w:rPr>
          <w:b/>
          <w:sz w:val="28"/>
        </w:rPr>
      </w:pPr>
    </w:p>
    <w:p w14:paraId="2E7C0B37" w14:textId="77777777" w:rsidR="001F0066" w:rsidRDefault="001F0066" w:rsidP="002034D7">
      <w:pPr>
        <w:pStyle w:val="Corpotesto"/>
        <w:spacing w:before="6" w:line="360" w:lineRule="auto"/>
        <w:rPr>
          <w:b/>
          <w:sz w:val="31"/>
        </w:rPr>
      </w:pPr>
    </w:p>
    <w:p w14:paraId="67C6FC84" w14:textId="28BFA2DB" w:rsidR="001F0066" w:rsidRDefault="00EE2012" w:rsidP="002034D7">
      <w:pPr>
        <w:spacing w:line="360" w:lineRule="auto"/>
        <w:ind w:left="1725" w:right="1725"/>
        <w:jc w:val="center"/>
        <w:rPr>
          <w:b/>
          <w:sz w:val="24"/>
        </w:rPr>
      </w:pPr>
      <w:r>
        <w:rPr>
          <w:b/>
          <w:sz w:val="24"/>
        </w:rPr>
        <w:t>Triennio 20</w:t>
      </w:r>
      <w:r w:rsidR="00E24316">
        <w:rPr>
          <w:b/>
          <w:sz w:val="24"/>
        </w:rPr>
        <w:t>2</w:t>
      </w:r>
      <w:r w:rsidR="00B80DD8">
        <w:rPr>
          <w:b/>
          <w:sz w:val="24"/>
        </w:rPr>
        <w:t>6</w:t>
      </w:r>
      <w:r>
        <w:rPr>
          <w:b/>
          <w:sz w:val="24"/>
        </w:rPr>
        <w:t>-202</w:t>
      </w:r>
      <w:r w:rsidR="00B80DD8">
        <w:rPr>
          <w:b/>
          <w:sz w:val="24"/>
        </w:rPr>
        <w:t>8</w:t>
      </w:r>
    </w:p>
    <w:p w14:paraId="57D2555A" w14:textId="77777777" w:rsidR="00EE2012" w:rsidRDefault="00EE2012" w:rsidP="002034D7">
      <w:pPr>
        <w:spacing w:line="360" w:lineRule="auto"/>
        <w:ind w:left="1725" w:right="1725"/>
        <w:jc w:val="center"/>
        <w:rPr>
          <w:b/>
          <w:sz w:val="24"/>
        </w:rPr>
      </w:pPr>
    </w:p>
    <w:p w14:paraId="3B215222" w14:textId="3E705A68" w:rsidR="00EE2012" w:rsidRDefault="00EE2012" w:rsidP="002034D7">
      <w:pPr>
        <w:spacing w:line="360" w:lineRule="auto"/>
        <w:ind w:left="1725" w:right="1725"/>
        <w:jc w:val="center"/>
        <w:rPr>
          <w:b/>
          <w:sz w:val="24"/>
        </w:rPr>
      </w:pPr>
    </w:p>
    <w:p w14:paraId="0858C689" w14:textId="77777777" w:rsidR="001F0066" w:rsidRDefault="001F0066" w:rsidP="002034D7">
      <w:pPr>
        <w:pStyle w:val="Corpotesto"/>
        <w:spacing w:line="360" w:lineRule="auto"/>
        <w:rPr>
          <w:b/>
          <w:sz w:val="28"/>
        </w:rPr>
      </w:pPr>
    </w:p>
    <w:p w14:paraId="50C523A0" w14:textId="77777777" w:rsidR="001F0066" w:rsidRDefault="001F0066" w:rsidP="002034D7">
      <w:pPr>
        <w:pStyle w:val="Corpotesto"/>
        <w:spacing w:line="360" w:lineRule="auto"/>
        <w:rPr>
          <w:b/>
          <w:sz w:val="28"/>
        </w:rPr>
      </w:pPr>
    </w:p>
    <w:p w14:paraId="23243B76" w14:textId="6D81349C" w:rsidR="001F0066" w:rsidRDefault="002034D7" w:rsidP="002034D7">
      <w:pPr>
        <w:pStyle w:val="Corpotesto"/>
        <w:spacing w:line="360" w:lineRule="auto"/>
        <w:ind w:left="1327" w:right="1327"/>
        <w:jc w:val="center"/>
      </w:pPr>
      <w:r>
        <w:t>(</w:t>
      </w:r>
      <w:r w:rsidR="00EE2012">
        <w:t xml:space="preserve">Redatto dal Responsabile Anticorruzione e approvato dal Commissario Straordinario </w:t>
      </w:r>
      <w:r w:rsidR="0026513D">
        <w:t xml:space="preserve">di ASP </w:t>
      </w:r>
      <w:r w:rsidR="00F72258">
        <w:t xml:space="preserve">con Delibera 4/2025 </w:t>
      </w:r>
      <w:r w:rsidR="00EE2012">
        <w:t>e dall’Amministratore Unico</w:t>
      </w:r>
      <w:r w:rsidR="0026513D">
        <w:t xml:space="preserve"> di EBS</w:t>
      </w:r>
      <w:r w:rsidR="00EE2012">
        <w:t>)</w:t>
      </w:r>
    </w:p>
    <w:p w14:paraId="4009E56D" w14:textId="77777777" w:rsidR="001F0066" w:rsidRDefault="001F0066" w:rsidP="002034D7">
      <w:pPr>
        <w:pStyle w:val="Corpotesto"/>
        <w:spacing w:line="360" w:lineRule="auto"/>
        <w:rPr>
          <w:sz w:val="20"/>
        </w:rPr>
      </w:pPr>
    </w:p>
    <w:p w14:paraId="06549172" w14:textId="77777777" w:rsidR="00D44F9E" w:rsidRDefault="00D44F9E" w:rsidP="002034D7">
      <w:pPr>
        <w:pStyle w:val="Corpotesto"/>
        <w:spacing w:line="360" w:lineRule="auto"/>
        <w:rPr>
          <w:sz w:val="20"/>
        </w:rPr>
      </w:pPr>
    </w:p>
    <w:p w14:paraId="3064BD86" w14:textId="77777777" w:rsidR="005145F0" w:rsidRDefault="005145F0" w:rsidP="002034D7">
      <w:pPr>
        <w:pStyle w:val="Corpotesto"/>
        <w:spacing w:line="360" w:lineRule="auto"/>
        <w:rPr>
          <w:sz w:val="20"/>
        </w:rPr>
      </w:pPr>
    </w:p>
    <w:tbl>
      <w:tblPr>
        <w:tblW w:w="9356"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0"/>
        <w:gridCol w:w="3752"/>
        <w:gridCol w:w="2694"/>
      </w:tblGrid>
      <w:tr w:rsidR="005145F0" w:rsidRPr="005145F0" w14:paraId="66264226" w14:textId="77777777" w:rsidTr="00852507">
        <w:tc>
          <w:tcPr>
            <w:tcW w:w="6662" w:type="dxa"/>
            <w:gridSpan w:val="2"/>
            <w:tcBorders>
              <w:top w:val="single" w:sz="4" w:space="0" w:color="auto"/>
              <w:left w:val="single" w:sz="4" w:space="0" w:color="auto"/>
              <w:bottom w:val="single" w:sz="4" w:space="0" w:color="auto"/>
              <w:right w:val="single" w:sz="4" w:space="0" w:color="auto"/>
            </w:tcBorders>
            <w:hideMark/>
          </w:tcPr>
          <w:p w14:paraId="23C787DC" w14:textId="77777777" w:rsidR="005145F0" w:rsidRPr="005145F0" w:rsidRDefault="005145F0" w:rsidP="002034D7">
            <w:pPr>
              <w:widowControl/>
              <w:tabs>
                <w:tab w:val="left" w:pos="708"/>
                <w:tab w:val="center" w:pos="4819"/>
                <w:tab w:val="right" w:pos="9638"/>
              </w:tabs>
              <w:autoSpaceDE/>
              <w:autoSpaceDN/>
              <w:spacing w:line="360" w:lineRule="auto"/>
              <w:ind w:left="781"/>
              <w:jc w:val="center"/>
              <w:rPr>
                <w:rFonts w:eastAsia="Times New Roman" w:cs="Times New Roman"/>
                <w:noProof/>
                <w:sz w:val="18"/>
                <w:szCs w:val="18"/>
                <w:lang w:bidi="ar-SA"/>
              </w:rPr>
            </w:pPr>
            <w:r w:rsidRPr="005145F0">
              <w:rPr>
                <w:rFonts w:eastAsia="Times New Roman" w:cs="Arial"/>
                <w:b/>
                <w:bCs/>
                <w:sz w:val="18"/>
                <w:szCs w:val="18"/>
                <w:lang w:bidi="ar-SA"/>
              </w:rPr>
              <w:t>Responsabili</w:t>
            </w:r>
          </w:p>
        </w:tc>
        <w:tc>
          <w:tcPr>
            <w:tcW w:w="2694" w:type="dxa"/>
            <w:tcBorders>
              <w:top w:val="single" w:sz="4" w:space="0" w:color="auto"/>
              <w:left w:val="single" w:sz="4" w:space="0" w:color="auto"/>
              <w:bottom w:val="single" w:sz="4" w:space="0" w:color="auto"/>
              <w:right w:val="single" w:sz="4" w:space="0" w:color="auto"/>
            </w:tcBorders>
            <w:hideMark/>
          </w:tcPr>
          <w:p w14:paraId="38B3D605" w14:textId="77777777" w:rsidR="005145F0" w:rsidRPr="005145F0" w:rsidRDefault="005145F0" w:rsidP="002034D7">
            <w:pPr>
              <w:widowControl/>
              <w:autoSpaceDE/>
              <w:autoSpaceDN/>
              <w:spacing w:line="360" w:lineRule="auto"/>
              <w:jc w:val="center"/>
              <w:rPr>
                <w:rFonts w:eastAsia="Times New Roman" w:cs="Arial"/>
                <w:color w:val="000000"/>
                <w:sz w:val="18"/>
                <w:szCs w:val="18"/>
                <w:lang w:bidi="ar-SA"/>
              </w:rPr>
            </w:pPr>
            <w:r w:rsidRPr="005145F0">
              <w:rPr>
                <w:rFonts w:eastAsia="Times New Roman" w:cs="Arial"/>
                <w:b/>
                <w:bCs/>
                <w:sz w:val="18"/>
                <w:szCs w:val="18"/>
                <w:lang w:bidi="ar-SA"/>
              </w:rPr>
              <w:t>Data</w:t>
            </w:r>
          </w:p>
        </w:tc>
      </w:tr>
      <w:tr w:rsidR="005145F0" w:rsidRPr="005145F0" w14:paraId="0D9503F5" w14:textId="77777777" w:rsidTr="00852507">
        <w:tc>
          <w:tcPr>
            <w:tcW w:w="2910" w:type="dxa"/>
            <w:tcBorders>
              <w:top w:val="single" w:sz="4" w:space="0" w:color="auto"/>
              <w:left w:val="single" w:sz="4" w:space="0" w:color="auto"/>
              <w:bottom w:val="single" w:sz="4" w:space="0" w:color="auto"/>
              <w:right w:val="single" w:sz="4" w:space="0" w:color="auto"/>
            </w:tcBorders>
            <w:hideMark/>
          </w:tcPr>
          <w:p w14:paraId="64C49ED1" w14:textId="77777777" w:rsidR="005145F0" w:rsidRPr="005145F0" w:rsidRDefault="005145F0" w:rsidP="002034D7">
            <w:pPr>
              <w:widowControl/>
              <w:tabs>
                <w:tab w:val="left" w:pos="708"/>
                <w:tab w:val="center" w:pos="4819"/>
                <w:tab w:val="right" w:pos="9638"/>
              </w:tabs>
              <w:autoSpaceDE/>
              <w:autoSpaceDN/>
              <w:spacing w:line="360" w:lineRule="auto"/>
              <w:rPr>
                <w:rFonts w:eastAsia="Times New Roman" w:cs="Arial"/>
                <w:sz w:val="18"/>
                <w:szCs w:val="18"/>
                <w:lang w:bidi="ar-SA"/>
              </w:rPr>
            </w:pPr>
            <w:r w:rsidRPr="005145F0">
              <w:rPr>
                <w:rFonts w:eastAsia="Times New Roman" w:cs="Arial"/>
                <w:sz w:val="18"/>
                <w:szCs w:val="18"/>
                <w:lang w:bidi="ar-SA"/>
              </w:rPr>
              <w:t>Redazione</w:t>
            </w:r>
          </w:p>
        </w:tc>
        <w:tc>
          <w:tcPr>
            <w:tcW w:w="3752" w:type="dxa"/>
            <w:tcBorders>
              <w:top w:val="single" w:sz="4" w:space="0" w:color="auto"/>
              <w:left w:val="single" w:sz="4" w:space="0" w:color="auto"/>
              <w:bottom w:val="single" w:sz="4" w:space="0" w:color="auto"/>
              <w:right w:val="single" w:sz="4" w:space="0" w:color="auto"/>
            </w:tcBorders>
            <w:hideMark/>
          </w:tcPr>
          <w:p w14:paraId="660DB128" w14:textId="6557002C" w:rsidR="005145F0" w:rsidRPr="005145F0" w:rsidRDefault="005145F0" w:rsidP="002034D7">
            <w:pPr>
              <w:widowControl/>
              <w:tabs>
                <w:tab w:val="left" w:pos="708"/>
                <w:tab w:val="center" w:pos="4819"/>
                <w:tab w:val="right" w:pos="9638"/>
              </w:tabs>
              <w:autoSpaceDE/>
              <w:autoSpaceDN/>
              <w:spacing w:line="360" w:lineRule="auto"/>
              <w:rPr>
                <w:rFonts w:eastAsia="Times New Roman" w:cs="Arial"/>
                <w:sz w:val="18"/>
                <w:szCs w:val="18"/>
                <w:lang w:bidi="ar-SA"/>
              </w:rPr>
            </w:pPr>
            <w:r w:rsidRPr="005145F0">
              <w:rPr>
                <w:rFonts w:eastAsia="Times New Roman" w:cs="Arial"/>
                <w:sz w:val="18"/>
                <w:szCs w:val="18"/>
                <w:lang w:bidi="ar-SA"/>
              </w:rPr>
              <w:t xml:space="preserve">RPCT </w:t>
            </w:r>
          </w:p>
        </w:tc>
        <w:tc>
          <w:tcPr>
            <w:tcW w:w="2694" w:type="dxa"/>
            <w:tcBorders>
              <w:top w:val="single" w:sz="4" w:space="0" w:color="auto"/>
              <w:left w:val="single" w:sz="4" w:space="0" w:color="auto"/>
              <w:bottom w:val="single" w:sz="4" w:space="0" w:color="auto"/>
              <w:right w:val="single" w:sz="4" w:space="0" w:color="auto"/>
            </w:tcBorders>
            <w:hideMark/>
          </w:tcPr>
          <w:p w14:paraId="365247B0" w14:textId="75947AE1" w:rsidR="005145F0" w:rsidRPr="005145F0" w:rsidRDefault="00F72258" w:rsidP="002034D7">
            <w:pPr>
              <w:widowControl/>
              <w:autoSpaceDE/>
              <w:autoSpaceDN/>
              <w:spacing w:line="360" w:lineRule="auto"/>
              <w:rPr>
                <w:rFonts w:eastAsia="Times New Roman" w:cs="Arial"/>
                <w:color w:val="000000"/>
                <w:sz w:val="18"/>
                <w:szCs w:val="18"/>
                <w:lang w:bidi="ar-SA"/>
              </w:rPr>
            </w:pPr>
            <w:r>
              <w:rPr>
                <w:rFonts w:eastAsia="Times New Roman" w:cs="Arial"/>
                <w:color w:val="000000"/>
                <w:sz w:val="18"/>
                <w:szCs w:val="18"/>
                <w:lang w:bidi="ar-SA"/>
              </w:rPr>
              <w:t>dicembre</w:t>
            </w:r>
            <w:r w:rsidR="00C22298">
              <w:rPr>
                <w:rFonts w:eastAsia="Times New Roman" w:cs="Arial"/>
                <w:color w:val="000000"/>
                <w:sz w:val="18"/>
                <w:szCs w:val="18"/>
                <w:lang w:bidi="ar-SA"/>
              </w:rPr>
              <w:t xml:space="preserve"> 202</w:t>
            </w:r>
            <w:r w:rsidR="005C7454">
              <w:rPr>
                <w:rFonts w:eastAsia="Times New Roman" w:cs="Arial"/>
                <w:color w:val="000000"/>
                <w:sz w:val="18"/>
                <w:szCs w:val="18"/>
                <w:lang w:bidi="ar-SA"/>
              </w:rPr>
              <w:t>5</w:t>
            </w:r>
          </w:p>
        </w:tc>
      </w:tr>
      <w:tr w:rsidR="005145F0" w:rsidRPr="005145F0" w14:paraId="09B0A545" w14:textId="77777777" w:rsidTr="00852507">
        <w:tc>
          <w:tcPr>
            <w:tcW w:w="2910" w:type="dxa"/>
            <w:tcBorders>
              <w:top w:val="single" w:sz="4" w:space="0" w:color="auto"/>
              <w:left w:val="single" w:sz="4" w:space="0" w:color="auto"/>
              <w:bottom w:val="single" w:sz="4" w:space="0" w:color="auto"/>
              <w:right w:val="single" w:sz="4" w:space="0" w:color="auto"/>
            </w:tcBorders>
            <w:hideMark/>
          </w:tcPr>
          <w:p w14:paraId="28C57964" w14:textId="7F3CF0E7" w:rsidR="005145F0" w:rsidRPr="005145F0" w:rsidRDefault="00D85672" w:rsidP="002034D7">
            <w:pPr>
              <w:widowControl/>
              <w:tabs>
                <w:tab w:val="left" w:pos="708"/>
                <w:tab w:val="center" w:pos="4819"/>
                <w:tab w:val="right" w:pos="9638"/>
              </w:tabs>
              <w:autoSpaceDE/>
              <w:autoSpaceDN/>
              <w:spacing w:line="360" w:lineRule="auto"/>
              <w:rPr>
                <w:rFonts w:eastAsia="Times New Roman" w:cs="Arial"/>
                <w:sz w:val="18"/>
                <w:szCs w:val="18"/>
                <w:lang w:bidi="ar-SA"/>
              </w:rPr>
            </w:pPr>
            <w:proofErr w:type="spellStart"/>
            <w:r>
              <w:rPr>
                <w:rFonts w:eastAsia="Times New Roman" w:cs="Arial"/>
                <w:sz w:val="18"/>
                <w:szCs w:val="18"/>
                <w:lang w:bidi="ar-SA"/>
              </w:rPr>
              <w:t>iLLUSTRAZIONE</w:t>
            </w:r>
            <w:proofErr w:type="spellEnd"/>
          </w:p>
        </w:tc>
        <w:tc>
          <w:tcPr>
            <w:tcW w:w="3752" w:type="dxa"/>
            <w:tcBorders>
              <w:top w:val="single" w:sz="4" w:space="0" w:color="auto"/>
              <w:left w:val="single" w:sz="4" w:space="0" w:color="auto"/>
              <w:bottom w:val="single" w:sz="4" w:space="0" w:color="auto"/>
              <w:right w:val="single" w:sz="4" w:space="0" w:color="auto"/>
            </w:tcBorders>
            <w:hideMark/>
          </w:tcPr>
          <w:p w14:paraId="7F2B2067" w14:textId="77777777" w:rsidR="00D85672" w:rsidRDefault="005145F0" w:rsidP="002034D7">
            <w:pPr>
              <w:widowControl/>
              <w:tabs>
                <w:tab w:val="left" w:pos="708"/>
                <w:tab w:val="center" w:pos="4819"/>
                <w:tab w:val="right" w:pos="9638"/>
              </w:tabs>
              <w:autoSpaceDE/>
              <w:autoSpaceDN/>
              <w:spacing w:line="360" w:lineRule="auto"/>
              <w:rPr>
                <w:rFonts w:eastAsia="Times New Roman" w:cs="Arial"/>
                <w:noProof/>
                <w:color w:val="000000"/>
                <w:sz w:val="18"/>
                <w:szCs w:val="18"/>
                <w:lang w:bidi="ar-SA"/>
              </w:rPr>
            </w:pPr>
            <w:r>
              <w:rPr>
                <w:rFonts w:eastAsia="Times New Roman" w:cs="Arial"/>
                <w:noProof/>
                <w:color w:val="000000"/>
                <w:sz w:val="18"/>
                <w:szCs w:val="18"/>
                <w:lang w:bidi="ar-SA"/>
              </w:rPr>
              <w:t xml:space="preserve">- </w:t>
            </w:r>
            <w:r w:rsidRPr="005145F0">
              <w:rPr>
                <w:rFonts w:eastAsia="Times New Roman" w:cs="Arial"/>
                <w:noProof/>
                <w:color w:val="000000"/>
                <w:sz w:val="18"/>
                <w:szCs w:val="18"/>
                <w:lang w:bidi="ar-SA"/>
              </w:rPr>
              <w:t>Commissario Straordinario ASP</w:t>
            </w:r>
          </w:p>
          <w:p w14:paraId="258F5942" w14:textId="77777777" w:rsidR="005145F0" w:rsidRPr="005145F0" w:rsidRDefault="005145F0" w:rsidP="002034D7">
            <w:pPr>
              <w:widowControl/>
              <w:tabs>
                <w:tab w:val="left" w:pos="708"/>
                <w:tab w:val="center" w:pos="4819"/>
                <w:tab w:val="right" w:pos="9638"/>
              </w:tabs>
              <w:autoSpaceDE/>
              <w:autoSpaceDN/>
              <w:spacing w:line="360" w:lineRule="auto"/>
              <w:rPr>
                <w:rFonts w:eastAsia="Times New Roman" w:cs="Arial"/>
                <w:noProof/>
                <w:color w:val="000000"/>
                <w:sz w:val="18"/>
                <w:szCs w:val="18"/>
                <w:lang w:bidi="ar-SA"/>
              </w:rPr>
            </w:pPr>
            <w:r>
              <w:rPr>
                <w:rFonts w:eastAsia="Times New Roman" w:cs="Arial"/>
                <w:noProof/>
                <w:color w:val="000000"/>
                <w:sz w:val="18"/>
                <w:szCs w:val="18"/>
                <w:lang w:bidi="ar-SA"/>
              </w:rPr>
              <w:t xml:space="preserve">- </w:t>
            </w:r>
            <w:r w:rsidRPr="005145F0">
              <w:rPr>
                <w:rFonts w:eastAsia="Times New Roman" w:cs="Arial"/>
                <w:noProof/>
                <w:color w:val="000000"/>
                <w:sz w:val="18"/>
                <w:szCs w:val="18"/>
                <w:lang w:bidi="ar-SA"/>
              </w:rPr>
              <w:t>Amministratore Unico EBS</w:t>
            </w:r>
          </w:p>
        </w:tc>
        <w:tc>
          <w:tcPr>
            <w:tcW w:w="2694" w:type="dxa"/>
            <w:tcBorders>
              <w:top w:val="single" w:sz="4" w:space="0" w:color="auto"/>
              <w:left w:val="single" w:sz="4" w:space="0" w:color="auto"/>
              <w:bottom w:val="single" w:sz="4" w:space="0" w:color="auto"/>
              <w:right w:val="single" w:sz="4" w:space="0" w:color="auto"/>
            </w:tcBorders>
          </w:tcPr>
          <w:p w14:paraId="0760051C" w14:textId="62B65602" w:rsidR="005145F0" w:rsidRPr="005145F0" w:rsidRDefault="00F72258" w:rsidP="002034D7">
            <w:pPr>
              <w:widowControl/>
              <w:tabs>
                <w:tab w:val="left" w:pos="708"/>
                <w:tab w:val="center" w:pos="4819"/>
                <w:tab w:val="right" w:pos="9638"/>
              </w:tabs>
              <w:autoSpaceDE/>
              <w:autoSpaceDN/>
              <w:spacing w:line="360" w:lineRule="auto"/>
              <w:rPr>
                <w:rFonts w:eastAsia="Times New Roman" w:cs="Arial"/>
                <w:noProof/>
                <w:color w:val="0000FF"/>
                <w:sz w:val="18"/>
                <w:szCs w:val="18"/>
                <w:lang w:bidi="ar-SA"/>
              </w:rPr>
            </w:pPr>
            <w:r>
              <w:rPr>
                <w:rFonts w:eastAsia="Times New Roman" w:cs="Arial"/>
                <w:noProof/>
                <w:sz w:val="18"/>
                <w:szCs w:val="18"/>
                <w:lang w:bidi="ar-SA"/>
              </w:rPr>
              <w:t>3</w:t>
            </w:r>
            <w:r w:rsidR="005C7454">
              <w:rPr>
                <w:rFonts w:eastAsia="Times New Roman" w:cs="Arial"/>
                <w:noProof/>
                <w:sz w:val="18"/>
                <w:szCs w:val="18"/>
                <w:lang w:bidi="ar-SA"/>
              </w:rPr>
              <w:t>0</w:t>
            </w:r>
            <w:r>
              <w:rPr>
                <w:rFonts w:eastAsia="Times New Roman" w:cs="Arial"/>
                <w:noProof/>
                <w:sz w:val="18"/>
                <w:szCs w:val="18"/>
                <w:lang w:bidi="ar-SA"/>
              </w:rPr>
              <w:t xml:space="preserve"> gennaio </w:t>
            </w:r>
            <w:r w:rsidR="00D85672" w:rsidRPr="00D85672">
              <w:rPr>
                <w:rFonts w:eastAsia="Times New Roman" w:cs="Arial"/>
                <w:noProof/>
                <w:sz w:val="18"/>
                <w:szCs w:val="18"/>
                <w:lang w:bidi="ar-SA"/>
              </w:rPr>
              <w:t>202</w:t>
            </w:r>
            <w:r w:rsidR="005C7454">
              <w:rPr>
                <w:rFonts w:eastAsia="Times New Roman" w:cs="Arial"/>
                <w:noProof/>
                <w:sz w:val="18"/>
                <w:szCs w:val="18"/>
                <w:lang w:bidi="ar-SA"/>
              </w:rPr>
              <w:t>6</w:t>
            </w:r>
          </w:p>
        </w:tc>
      </w:tr>
    </w:tbl>
    <w:p w14:paraId="58C0EDFB" w14:textId="6CBB08F4" w:rsidR="0000704F" w:rsidRDefault="0000704F" w:rsidP="002034D7">
      <w:pPr>
        <w:pStyle w:val="Corpotesto"/>
        <w:spacing w:line="360" w:lineRule="auto"/>
        <w:rPr>
          <w:rFonts w:ascii="Times New Roman"/>
          <w:sz w:val="20"/>
        </w:rPr>
      </w:pPr>
    </w:p>
    <w:p w14:paraId="7E34D53A" w14:textId="77777777" w:rsidR="00F72258" w:rsidRDefault="00F72258" w:rsidP="002034D7">
      <w:pPr>
        <w:pStyle w:val="Corpotesto"/>
        <w:spacing w:line="360" w:lineRule="auto"/>
        <w:rPr>
          <w:rFonts w:ascii="Times New Roman"/>
          <w:sz w:val="20"/>
        </w:rPr>
      </w:pPr>
    </w:p>
    <w:p w14:paraId="4102629F" w14:textId="510315E2" w:rsidR="00651949" w:rsidRDefault="00846CCF">
      <w:pPr>
        <w:pStyle w:val="Sommario1"/>
        <w:rPr>
          <w:rFonts w:asciiTheme="minorHAnsi" w:eastAsiaTheme="minorEastAsia" w:hAnsiTheme="minorHAnsi" w:cstheme="minorBidi"/>
          <w:noProof/>
          <w:kern w:val="2"/>
          <w:sz w:val="24"/>
          <w:szCs w:val="24"/>
          <w:lang w:eastAsia="it-IT"/>
          <w14:ligatures w14:val="standardContextual"/>
        </w:rPr>
      </w:pPr>
      <w:r w:rsidRPr="006D180B">
        <w:rPr>
          <w:rFonts w:eastAsia="Calibri"/>
          <w:b/>
          <w:color w:val="002060"/>
          <w:sz w:val="24"/>
          <w:szCs w:val="24"/>
        </w:rPr>
        <w:lastRenderedPageBreak/>
        <w:fldChar w:fldCharType="begin"/>
      </w:r>
      <w:r w:rsidRPr="006D180B">
        <w:rPr>
          <w:rFonts w:eastAsia="Calibri"/>
          <w:b/>
          <w:color w:val="002060"/>
          <w:sz w:val="24"/>
          <w:szCs w:val="24"/>
        </w:rPr>
        <w:instrText>TOC \o "1-3" \h \z \u</w:instrText>
      </w:r>
      <w:r w:rsidRPr="006D180B">
        <w:rPr>
          <w:rFonts w:eastAsia="Calibri"/>
          <w:b/>
          <w:color w:val="002060"/>
          <w:sz w:val="24"/>
          <w:szCs w:val="24"/>
        </w:rPr>
        <w:fldChar w:fldCharType="separate"/>
      </w:r>
      <w:hyperlink w:anchor="_Toc220506546" w:history="1">
        <w:r w:rsidR="00651949" w:rsidRPr="00F33F06">
          <w:rPr>
            <w:rStyle w:val="Collegamentoipertestuale"/>
            <w:rFonts w:eastAsia="Verdana"/>
            <w:noProof/>
            <w:lang w:bidi="it-IT"/>
          </w:rPr>
          <w:t xml:space="preserve">1. </w:t>
        </w:r>
        <w:r w:rsidR="00651949" w:rsidRPr="00F33F06">
          <w:rPr>
            <w:rStyle w:val="Collegamentoipertestuale"/>
            <w:rFonts w:eastAsia="Verdana"/>
            <w:smallCaps/>
            <w:noProof/>
            <w:lang w:bidi="it-IT"/>
          </w:rPr>
          <w:t>Premessa. Normativa di Riferimento</w:t>
        </w:r>
        <w:r w:rsidR="00651949">
          <w:rPr>
            <w:noProof/>
            <w:webHidden/>
          </w:rPr>
          <w:tab/>
        </w:r>
        <w:r w:rsidR="00651949">
          <w:rPr>
            <w:noProof/>
            <w:webHidden/>
          </w:rPr>
          <w:fldChar w:fldCharType="begin"/>
        </w:r>
        <w:r w:rsidR="00651949">
          <w:rPr>
            <w:noProof/>
            <w:webHidden/>
          </w:rPr>
          <w:instrText xml:space="preserve"> PAGEREF _Toc220506546 \h </w:instrText>
        </w:r>
        <w:r w:rsidR="00651949">
          <w:rPr>
            <w:noProof/>
            <w:webHidden/>
          </w:rPr>
        </w:r>
        <w:r w:rsidR="00651949">
          <w:rPr>
            <w:noProof/>
            <w:webHidden/>
          </w:rPr>
          <w:fldChar w:fldCharType="separate"/>
        </w:r>
        <w:r w:rsidR="00651949">
          <w:rPr>
            <w:noProof/>
            <w:webHidden/>
          </w:rPr>
          <w:t>4</w:t>
        </w:r>
        <w:r w:rsidR="00651949">
          <w:rPr>
            <w:noProof/>
            <w:webHidden/>
          </w:rPr>
          <w:fldChar w:fldCharType="end"/>
        </w:r>
      </w:hyperlink>
    </w:p>
    <w:p w14:paraId="138E4894" w14:textId="78035E6D"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47" w:history="1">
        <w:r w:rsidRPr="00F33F06">
          <w:rPr>
            <w:rStyle w:val="Collegamentoipertestuale"/>
            <w:rFonts w:eastAsia="Verdana"/>
            <w:noProof/>
            <w:lang w:bidi="it-IT"/>
          </w:rPr>
          <w:t>2</w:t>
        </w:r>
        <w:r w:rsidRPr="00F33F06">
          <w:rPr>
            <w:rStyle w:val="Collegamentoipertestuale"/>
            <w:rFonts w:eastAsia="Verdana"/>
            <w:smallCaps/>
            <w:noProof/>
            <w:lang w:bidi="it-IT"/>
          </w:rPr>
          <w:t>.  I Piani Nazionali Anticorruzione: il PNA 2019 e i PNA 2022 – 2023 -2025</w:t>
        </w:r>
        <w:r>
          <w:rPr>
            <w:noProof/>
            <w:webHidden/>
          </w:rPr>
          <w:tab/>
        </w:r>
        <w:r>
          <w:rPr>
            <w:noProof/>
            <w:webHidden/>
          </w:rPr>
          <w:fldChar w:fldCharType="begin"/>
        </w:r>
        <w:r>
          <w:rPr>
            <w:noProof/>
            <w:webHidden/>
          </w:rPr>
          <w:instrText xml:space="preserve"> PAGEREF _Toc220506547 \h </w:instrText>
        </w:r>
        <w:r>
          <w:rPr>
            <w:noProof/>
            <w:webHidden/>
          </w:rPr>
        </w:r>
        <w:r>
          <w:rPr>
            <w:noProof/>
            <w:webHidden/>
          </w:rPr>
          <w:fldChar w:fldCharType="separate"/>
        </w:r>
        <w:r>
          <w:rPr>
            <w:noProof/>
            <w:webHidden/>
          </w:rPr>
          <w:t>6</w:t>
        </w:r>
        <w:r>
          <w:rPr>
            <w:noProof/>
            <w:webHidden/>
          </w:rPr>
          <w:fldChar w:fldCharType="end"/>
        </w:r>
      </w:hyperlink>
    </w:p>
    <w:p w14:paraId="54830EEF" w14:textId="26B04DEA"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48" w:history="1">
        <w:r w:rsidRPr="00F33F06">
          <w:rPr>
            <w:rStyle w:val="Collegamentoipertestuale"/>
            <w:rFonts w:eastAsia="Verdana"/>
            <w:noProof/>
            <w:lang w:bidi="it-IT"/>
          </w:rPr>
          <w:t xml:space="preserve">2.1 </w:t>
        </w:r>
        <w:r w:rsidRPr="00F33F06">
          <w:rPr>
            <w:rStyle w:val="Collegamentoipertestuale"/>
            <w:rFonts w:eastAsia="Verdana"/>
            <w:smallCaps/>
            <w:noProof/>
            <w:lang w:bidi="it-IT"/>
          </w:rPr>
          <w:t>Il PNA 2019 e 2022 e la Attuazione dei Principi in ASP e EBS: Peculiarità della Realtà</w:t>
        </w:r>
        <w:r>
          <w:rPr>
            <w:noProof/>
            <w:webHidden/>
          </w:rPr>
          <w:tab/>
        </w:r>
        <w:r>
          <w:rPr>
            <w:noProof/>
            <w:webHidden/>
          </w:rPr>
          <w:fldChar w:fldCharType="begin"/>
        </w:r>
        <w:r>
          <w:rPr>
            <w:noProof/>
            <w:webHidden/>
          </w:rPr>
          <w:instrText xml:space="preserve"> PAGEREF _Toc220506548 \h </w:instrText>
        </w:r>
        <w:r>
          <w:rPr>
            <w:noProof/>
            <w:webHidden/>
          </w:rPr>
        </w:r>
        <w:r>
          <w:rPr>
            <w:noProof/>
            <w:webHidden/>
          </w:rPr>
          <w:fldChar w:fldCharType="separate"/>
        </w:r>
        <w:r>
          <w:rPr>
            <w:noProof/>
            <w:webHidden/>
          </w:rPr>
          <w:t>8</w:t>
        </w:r>
        <w:r>
          <w:rPr>
            <w:noProof/>
            <w:webHidden/>
          </w:rPr>
          <w:fldChar w:fldCharType="end"/>
        </w:r>
      </w:hyperlink>
    </w:p>
    <w:p w14:paraId="42E0D75E" w14:textId="10E5180E"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49" w:history="1">
        <w:r w:rsidRPr="00F33F06">
          <w:rPr>
            <w:rStyle w:val="Collegamentoipertestuale"/>
            <w:rFonts w:eastAsia="Verdana"/>
            <w:noProof/>
            <w:lang w:bidi="it-IT"/>
          </w:rPr>
          <w:t>2.2 IL PNA 2023 e 2024</w:t>
        </w:r>
        <w:r>
          <w:rPr>
            <w:noProof/>
            <w:webHidden/>
          </w:rPr>
          <w:tab/>
        </w:r>
        <w:r>
          <w:rPr>
            <w:noProof/>
            <w:webHidden/>
          </w:rPr>
          <w:fldChar w:fldCharType="begin"/>
        </w:r>
        <w:r>
          <w:rPr>
            <w:noProof/>
            <w:webHidden/>
          </w:rPr>
          <w:instrText xml:space="preserve"> PAGEREF _Toc220506549 \h </w:instrText>
        </w:r>
        <w:r>
          <w:rPr>
            <w:noProof/>
            <w:webHidden/>
          </w:rPr>
        </w:r>
        <w:r>
          <w:rPr>
            <w:noProof/>
            <w:webHidden/>
          </w:rPr>
          <w:fldChar w:fldCharType="separate"/>
        </w:r>
        <w:r>
          <w:rPr>
            <w:noProof/>
            <w:webHidden/>
          </w:rPr>
          <w:t>9</w:t>
        </w:r>
        <w:r>
          <w:rPr>
            <w:noProof/>
            <w:webHidden/>
          </w:rPr>
          <w:fldChar w:fldCharType="end"/>
        </w:r>
      </w:hyperlink>
    </w:p>
    <w:p w14:paraId="46B3043E" w14:textId="72482420"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0" w:history="1">
        <w:r w:rsidRPr="00F33F06">
          <w:rPr>
            <w:rStyle w:val="Collegamentoipertestuale"/>
            <w:rFonts w:eastAsia="Verdana"/>
            <w:smallCaps/>
            <w:noProof/>
            <w:lang w:bidi="it-IT"/>
          </w:rPr>
          <w:t>3. adozione del presente PTPCT</w:t>
        </w:r>
        <w:r>
          <w:rPr>
            <w:noProof/>
            <w:webHidden/>
          </w:rPr>
          <w:tab/>
        </w:r>
        <w:r>
          <w:rPr>
            <w:noProof/>
            <w:webHidden/>
          </w:rPr>
          <w:fldChar w:fldCharType="begin"/>
        </w:r>
        <w:r>
          <w:rPr>
            <w:noProof/>
            <w:webHidden/>
          </w:rPr>
          <w:instrText xml:space="preserve"> PAGEREF _Toc220506550 \h </w:instrText>
        </w:r>
        <w:r>
          <w:rPr>
            <w:noProof/>
            <w:webHidden/>
          </w:rPr>
        </w:r>
        <w:r>
          <w:rPr>
            <w:noProof/>
            <w:webHidden/>
          </w:rPr>
          <w:fldChar w:fldCharType="separate"/>
        </w:r>
        <w:r>
          <w:rPr>
            <w:noProof/>
            <w:webHidden/>
          </w:rPr>
          <w:t>10</w:t>
        </w:r>
        <w:r>
          <w:rPr>
            <w:noProof/>
            <w:webHidden/>
          </w:rPr>
          <w:fldChar w:fldCharType="end"/>
        </w:r>
      </w:hyperlink>
    </w:p>
    <w:p w14:paraId="5CB6A938" w14:textId="6D0944D4"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1" w:history="1">
        <w:r w:rsidRPr="00F33F06">
          <w:rPr>
            <w:rStyle w:val="Collegamentoipertestuale"/>
            <w:rFonts w:eastAsia="Verdana"/>
            <w:smallCaps/>
            <w:noProof/>
            <w:lang w:bidi="it-IT"/>
          </w:rPr>
          <w:t>4. Struttura e Finalità del Piano 2026 -2028</w:t>
        </w:r>
        <w:r>
          <w:rPr>
            <w:noProof/>
            <w:webHidden/>
          </w:rPr>
          <w:tab/>
        </w:r>
        <w:r>
          <w:rPr>
            <w:noProof/>
            <w:webHidden/>
          </w:rPr>
          <w:fldChar w:fldCharType="begin"/>
        </w:r>
        <w:r>
          <w:rPr>
            <w:noProof/>
            <w:webHidden/>
          </w:rPr>
          <w:instrText xml:space="preserve"> PAGEREF _Toc220506551 \h </w:instrText>
        </w:r>
        <w:r>
          <w:rPr>
            <w:noProof/>
            <w:webHidden/>
          </w:rPr>
        </w:r>
        <w:r>
          <w:rPr>
            <w:noProof/>
            <w:webHidden/>
          </w:rPr>
          <w:fldChar w:fldCharType="separate"/>
        </w:r>
        <w:r>
          <w:rPr>
            <w:noProof/>
            <w:webHidden/>
          </w:rPr>
          <w:t>11</w:t>
        </w:r>
        <w:r>
          <w:rPr>
            <w:noProof/>
            <w:webHidden/>
          </w:rPr>
          <w:fldChar w:fldCharType="end"/>
        </w:r>
      </w:hyperlink>
    </w:p>
    <w:p w14:paraId="6686BC5B" w14:textId="4C176D70"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2" w:history="1">
        <w:r w:rsidRPr="00F33F06">
          <w:rPr>
            <w:rStyle w:val="Collegamentoipertestuale"/>
            <w:rFonts w:eastAsia="Verdana"/>
            <w:smallCaps/>
            <w:noProof/>
            <w:lang w:bidi="it-IT"/>
          </w:rPr>
          <w:t>5. Rapporto di Interdipendenza con il Modello 231/01 e i Sistemi Certificati</w:t>
        </w:r>
        <w:r>
          <w:rPr>
            <w:noProof/>
            <w:webHidden/>
          </w:rPr>
          <w:tab/>
        </w:r>
        <w:r>
          <w:rPr>
            <w:noProof/>
            <w:webHidden/>
          </w:rPr>
          <w:fldChar w:fldCharType="begin"/>
        </w:r>
        <w:r>
          <w:rPr>
            <w:noProof/>
            <w:webHidden/>
          </w:rPr>
          <w:instrText xml:space="preserve"> PAGEREF _Toc220506552 \h </w:instrText>
        </w:r>
        <w:r>
          <w:rPr>
            <w:noProof/>
            <w:webHidden/>
          </w:rPr>
        </w:r>
        <w:r>
          <w:rPr>
            <w:noProof/>
            <w:webHidden/>
          </w:rPr>
          <w:fldChar w:fldCharType="separate"/>
        </w:r>
        <w:r>
          <w:rPr>
            <w:noProof/>
            <w:webHidden/>
          </w:rPr>
          <w:t>11</w:t>
        </w:r>
        <w:r>
          <w:rPr>
            <w:noProof/>
            <w:webHidden/>
          </w:rPr>
          <w:fldChar w:fldCharType="end"/>
        </w:r>
      </w:hyperlink>
    </w:p>
    <w:p w14:paraId="59F4E84B" w14:textId="1C1164DF"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3" w:history="1">
        <w:r w:rsidRPr="00F33F06">
          <w:rPr>
            <w:rStyle w:val="Collegamentoipertestuale"/>
            <w:rFonts w:eastAsia="Verdana"/>
            <w:smallCaps/>
            <w:noProof/>
            <w:lang w:bidi="it-IT"/>
          </w:rPr>
          <w:t>6.</w:t>
        </w:r>
        <w:r>
          <w:rPr>
            <w:rFonts w:asciiTheme="minorHAnsi" w:eastAsiaTheme="minorEastAsia" w:hAnsiTheme="minorHAnsi" w:cstheme="minorBidi"/>
            <w:noProof/>
            <w:kern w:val="2"/>
            <w:sz w:val="24"/>
            <w:szCs w:val="24"/>
            <w:lang w:eastAsia="it-IT"/>
            <w14:ligatures w14:val="standardContextual"/>
          </w:rPr>
          <w:t xml:space="preserve"> </w:t>
        </w:r>
        <w:r w:rsidRPr="00F33F06">
          <w:rPr>
            <w:rStyle w:val="Collegamentoipertestuale"/>
            <w:rFonts w:eastAsia="Verdana"/>
            <w:smallCaps/>
            <w:noProof/>
            <w:lang w:bidi="it-IT"/>
          </w:rPr>
          <w:t>Politica Aziendale e Documentazione di Riferimento</w:t>
        </w:r>
        <w:r>
          <w:rPr>
            <w:noProof/>
            <w:webHidden/>
          </w:rPr>
          <w:tab/>
        </w:r>
        <w:r>
          <w:rPr>
            <w:noProof/>
            <w:webHidden/>
          </w:rPr>
          <w:fldChar w:fldCharType="begin"/>
        </w:r>
        <w:r>
          <w:rPr>
            <w:noProof/>
            <w:webHidden/>
          </w:rPr>
          <w:instrText xml:space="preserve"> PAGEREF _Toc220506553 \h </w:instrText>
        </w:r>
        <w:r>
          <w:rPr>
            <w:noProof/>
            <w:webHidden/>
          </w:rPr>
        </w:r>
        <w:r>
          <w:rPr>
            <w:noProof/>
            <w:webHidden/>
          </w:rPr>
          <w:fldChar w:fldCharType="separate"/>
        </w:r>
        <w:r>
          <w:rPr>
            <w:noProof/>
            <w:webHidden/>
          </w:rPr>
          <w:t>12</w:t>
        </w:r>
        <w:r>
          <w:rPr>
            <w:noProof/>
            <w:webHidden/>
          </w:rPr>
          <w:fldChar w:fldCharType="end"/>
        </w:r>
      </w:hyperlink>
    </w:p>
    <w:p w14:paraId="23805B0B" w14:textId="50E9AA68"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4" w:history="1">
        <w:r w:rsidRPr="00F33F06">
          <w:rPr>
            <w:rStyle w:val="Collegamentoipertestuale"/>
            <w:rFonts w:eastAsia="Verdana"/>
            <w:smallCaps/>
            <w:noProof/>
            <w:lang w:bidi="it-IT"/>
          </w:rPr>
          <w:t>7.</w:t>
        </w:r>
        <w:r>
          <w:rPr>
            <w:rStyle w:val="Collegamentoipertestuale"/>
            <w:rFonts w:eastAsia="Verdana"/>
            <w:smallCaps/>
            <w:noProof/>
            <w:lang w:bidi="it-IT"/>
          </w:rPr>
          <w:t xml:space="preserve"> </w:t>
        </w:r>
        <w:r w:rsidRPr="00F33F06">
          <w:rPr>
            <w:rStyle w:val="Collegamentoipertestuale"/>
            <w:rFonts w:eastAsia="Verdana"/>
            <w:smallCaps/>
            <w:noProof/>
            <w:lang w:bidi="it-IT"/>
          </w:rPr>
          <w:t>Gli Attori nella Prevenzione ed i Destinatari del PTPCT</w:t>
        </w:r>
        <w:r>
          <w:rPr>
            <w:noProof/>
            <w:webHidden/>
          </w:rPr>
          <w:tab/>
        </w:r>
        <w:r>
          <w:rPr>
            <w:noProof/>
            <w:webHidden/>
          </w:rPr>
          <w:fldChar w:fldCharType="begin"/>
        </w:r>
        <w:r>
          <w:rPr>
            <w:noProof/>
            <w:webHidden/>
          </w:rPr>
          <w:instrText xml:space="preserve"> PAGEREF _Toc220506554 \h </w:instrText>
        </w:r>
        <w:r>
          <w:rPr>
            <w:noProof/>
            <w:webHidden/>
          </w:rPr>
        </w:r>
        <w:r>
          <w:rPr>
            <w:noProof/>
            <w:webHidden/>
          </w:rPr>
          <w:fldChar w:fldCharType="separate"/>
        </w:r>
        <w:r>
          <w:rPr>
            <w:noProof/>
            <w:webHidden/>
          </w:rPr>
          <w:t>12</w:t>
        </w:r>
        <w:r>
          <w:rPr>
            <w:noProof/>
            <w:webHidden/>
          </w:rPr>
          <w:fldChar w:fldCharType="end"/>
        </w:r>
      </w:hyperlink>
    </w:p>
    <w:p w14:paraId="0E3167A7" w14:textId="449EC68F"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5" w:history="1">
        <w:r w:rsidRPr="00F33F06">
          <w:rPr>
            <w:rStyle w:val="Collegamentoipertestuale"/>
            <w:rFonts w:eastAsia="Verdana"/>
            <w:smallCaps/>
            <w:noProof/>
            <w:lang w:bidi="it-IT"/>
          </w:rPr>
          <w:t>7.1 Il Responsabile per la Prevenzione della Corruzione e per l’Integrità e la Trasparenza</w:t>
        </w:r>
        <w:r>
          <w:rPr>
            <w:noProof/>
            <w:webHidden/>
          </w:rPr>
          <w:tab/>
        </w:r>
        <w:r>
          <w:rPr>
            <w:noProof/>
            <w:webHidden/>
          </w:rPr>
          <w:fldChar w:fldCharType="begin"/>
        </w:r>
        <w:r>
          <w:rPr>
            <w:noProof/>
            <w:webHidden/>
          </w:rPr>
          <w:instrText xml:space="preserve"> PAGEREF _Toc220506555 \h </w:instrText>
        </w:r>
        <w:r>
          <w:rPr>
            <w:noProof/>
            <w:webHidden/>
          </w:rPr>
        </w:r>
        <w:r>
          <w:rPr>
            <w:noProof/>
            <w:webHidden/>
          </w:rPr>
          <w:fldChar w:fldCharType="separate"/>
        </w:r>
        <w:r>
          <w:rPr>
            <w:noProof/>
            <w:webHidden/>
          </w:rPr>
          <w:t>13</w:t>
        </w:r>
        <w:r>
          <w:rPr>
            <w:noProof/>
            <w:webHidden/>
          </w:rPr>
          <w:fldChar w:fldCharType="end"/>
        </w:r>
      </w:hyperlink>
    </w:p>
    <w:p w14:paraId="18621D0E" w14:textId="5D5436D5"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6" w:history="1">
        <w:r w:rsidRPr="00F33F06">
          <w:rPr>
            <w:rStyle w:val="Collegamentoipertestuale"/>
            <w:rFonts w:eastAsia="Verdana"/>
            <w:smallCaps/>
            <w:noProof/>
            <w:lang w:bidi="it-IT"/>
          </w:rPr>
          <w:t>7.2 Requisiti</w:t>
        </w:r>
        <w:r>
          <w:rPr>
            <w:noProof/>
            <w:webHidden/>
          </w:rPr>
          <w:tab/>
        </w:r>
        <w:r>
          <w:rPr>
            <w:noProof/>
            <w:webHidden/>
          </w:rPr>
          <w:fldChar w:fldCharType="begin"/>
        </w:r>
        <w:r>
          <w:rPr>
            <w:noProof/>
            <w:webHidden/>
          </w:rPr>
          <w:instrText xml:space="preserve"> PAGEREF _Toc220506556 \h </w:instrText>
        </w:r>
        <w:r>
          <w:rPr>
            <w:noProof/>
            <w:webHidden/>
          </w:rPr>
        </w:r>
        <w:r>
          <w:rPr>
            <w:noProof/>
            <w:webHidden/>
          </w:rPr>
          <w:fldChar w:fldCharType="separate"/>
        </w:r>
        <w:r>
          <w:rPr>
            <w:noProof/>
            <w:webHidden/>
          </w:rPr>
          <w:t>15</w:t>
        </w:r>
        <w:r>
          <w:rPr>
            <w:noProof/>
            <w:webHidden/>
          </w:rPr>
          <w:fldChar w:fldCharType="end"/>
        </w:r>
      </w:hyperlink>
    </w:p>
    <w:p w14:paraId="07015C16" w14:textId="5FC38849"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7" w:history="1">
        <w:r w:rsidRPr="00F33F06">
          <w:rPr>
            <w:rStyle w:val="Collegamentoipertestuale"/>
            <w:rFonts w:eastAsia="Verdana"/>
            <w:smallCaps/>
            <w:noProof/>
            <w:lang w:bidi="it-IT"/>
          </w:rPr>
          <w:t>7.3 Compiti</w:t>
        </w:r>
        <w:r>
          <w:rPr>
            <w:noProof/>
            <w:webHidden/>
          </w:rPr>
          <w:tab/>
        </w:r>
        <w:r>
          <w:rPr>
            <w:noProof/>
            <w:webHidden/>
          </w:rPr>
          <w:fldChar w:fldCharType="begin"/>
        </w:r>
        <w:r>
          <w:rPr>
            <w:noProof/>
            <w:webHidden/>
          </w:rPr>
          <w:instrText xml:space="preserve"> PAGEREF _Toc220506557 \h </w:instrText>
        </w:r>
        <w:r>
          <w:rPr>
            <w:noProof/>
            <w:webHidden/>
          </w:rPr>
        </w:r>
        <w:r>
          <w:rPr>
            <w:noProof/>
            <w:webHidden/>
          </w:rPr>
          <w:fldChar w:fldCharType="separate"/>
        </w:r>
        <w:r>
          <w:rPr>
            <w:noProof/>
            <w:webHidden/>
          </w:rPr>
          <w:t>15</w:t>
        </w:r>
        <w:r>
          <w:rPr>
            <w:noProof/>
            <w:webHidden/>
          </w:rPr>
          <w:fldChar w:fldCharType="end"/>
        </w:r>
      </w:hyperlink>
    </w:p>
    <w:p w14:paraId="5A365BBB" w14:textId="016BFC49"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8" w:history="1">
        <w:r w:rsidRPr="00F33F06">
          <w:rPr>
            <w:rStyle w:val="Collegamentoipertestuale"/>
            <w:rFonts w:eastAsia="Verdana"/>
            <w:smallCaps/>
            <w:noProof/>
            <w:lang w:bidi="it-IT"/>
          </w:rPr>
          <w:t>7.4 Poteri di Interlocuzione e Controllo di RPCT</w:t>
        </w:r>
        <w:r>
          <w:rPr>
            <w:noProof/>
            <w:webHidden/>
          </w:rPr>
          <w:tab/>
        </w:r>
        <w:r>
          <w:rPr>
            <w:noProof/>
            <w:webHidden/>
          </w:rPr>
          <w:fldChar w:fldCharType="begin"/>
        </w:r>
        <w:r>
          <w:rPr>
            <w:noProof/>
            <w:webHidden/>
          </w:rPr>
          <w:instrText xml:space="preserve"> PAGEREF _Toc220506558 \h </w:instrText>
        </w:r>
        <w:r>
          <w:rPr>
            <w:noProof/>
            <w:webHidden/>
          </w:rPr>
        </w:r>
        <w:r>
          <w:rPr>
            <w:noProof/>
            <w:webHidden/>
          </w:rPr>
          <w:fldChar w:fldCharType="separate"/>
        </w:r>
        <w:r>
          <w:rPr>
            <w:noProof/>
            <w:webHidden/>
          </w:rPr>
          <w:t>16</w:t>
        </w:r>
        <w:r>
          <w:rPr>
            <w:noProof/>
            <w:webHidden/>
          </w:rPr>
          <w:fldChar w:fldCharType="end"/>
        </w:r>
      </w:hyperlink>
    </w:p>
    <w:p w14:paraId="726A076C" w14:textId="51B30595"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59" w:history="1">
        <w:r w:rsidRPr="00F33F06">
          <w:rPr>
            <w:rStyle w:val="Collegamentoipertestuale"/>
            <w:rFonts w:eastAsia="Verdana"/>
            <w:smallCaps/>
            <w:noProof/>
            <w:lang w:bidi="it-IT"/>
          </w:rPr>
          <w:t>7.5 Le Risorse a disposizione di RPCT</w:t>
        </w:r>
        <w:r>
          <w:rPr>
            <w:noProof/>
            <w:webHidden/>
          </w:rPr>
          <w:tab/>
        </w:r>
        <w:r>
          <w:rPr>
            <w:noProof/>
            <w:webHidden/>
          </w:rPr>
          <w:fldChar w:fldCharType="begin"/>
        </w:r>
        <w:r>
          <w:rPr>
            <w:noProof/>
            <w:webHidden/>
          </w:rPr>
          <w:instrText xml:space="preserve"> PAGEREF _Toc220506559 \h </w:instrText>
        </w:r>
        <w:r>
          <w:rPr>
            <w:noProof/>
            <w:webHidden/>
          </w:rPr>
        </w:r>
        <w:r>
          <w:rPr>
            <w:noProof/>
            <w:webHidden/>
          </w:rPr>
          <w:fldChar w:fldCharType="separate"/>
        </w:r>
        <w:r>
          <w:rPr>
            <w:noProof/>
            <w:webHidden/>
          </w:rPr>
          <w:t>17</w:t>
        </w:r>
        <w:r>
          <w:rPr>
            <w:noProof/>
            <w:webHidden/>
          </w:rPr>
          <w:fldChar w:fldCharType="end"/>
        </w:r>
      </w:hyperlink>
    </w:p>
    <w:p w14:paraId="68ABA90D" w14:textId="3C4A41D5"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0" w:history="1">
        <w:r w:rsidRPr="00F33F06">
          <w:rPr>
            <w:rStyle w:val="Collegamentoipertestuale"/>
            <w:rFonts w:eastAsia="Verdana"/>
            <w:smallCaps/>
            <w:noProof/>
            <w:lang w:bidi="it-IT"/>
          </w:rPr>
          <w:t>7.6 Rapporti con Organi di Vigilanza e Controllo</w:t>
        </w:r>
        <w:r>
          <w:rPr>
            <w:noProof/>
            <w:webHidden/>
          </w:rPr>
          <w:tab/>
        </w:r>
        <w:r>
          <w:rPr>
            <w:noProof/>
            <w:webHidden/>
          </w:rPr>
          <w:fldChar w:fldCharType="begin"/>
        </w:r>
        <w:r>
          <w:rPr>
            <w:noProof/>
            <w:webHidden/>
          </w:rPr>
          <w:instrText xml:space="preserve"> PAGEREF _Toc220506560 \h </w:instrText>
        </w:r>
        <w:r>
          <w:rPr>
            <w:noProof/>
            <w:webHidden/>
          </w:rPr>
        </w:r>
        <w:r>
          <w:rPr>
            <w:noProof/>
            <w:webHidden/>
          </w:rPr>
          <w:fldChar w:fldCharType="separate"/>
        </w:r>
        <w:r>
          <w:rPr>
            <w:noProof/>
            <w:webHidden/>
          </w:rPr>
          <w:t>17</w:t>
        </w:r>
        <w:r>
          <w:rPr>
            <w:noProof/>
            <w:webHidden/>
          </w:rPr>
          <w:fldChar w:fldCharType="end"/>
        </w:r>
      </w:hyperlink>
    </w:p>
    <w:p w14:paraId="1C814A71" w14:textId="45CCDC6E"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1" w:history="1">
        <w:r w:rsidRPr="00F33F06">
          <w:rPr>
            <w:rStyle w:val="Collegamentoipertestuale"/>
            <w:rFonts w:eastAsia="Verdana"/>
            <w:smallCaps/>
            <w:noProof/>
            <w:lang w:bidi="it-IT"/>
          </w:rPr>
          <w:t>7.7 Misure a tutela di RPCT</w:t>
        </w:r>
        <w:r>
          <w:rPr>
            <w:noProof/>
            <w:webHidden/>
          </w:rPr>
          <w:tab/>
        </w:r>
        <w:r>
          <w:rPr>
            <w:noProof/>
            <w:webHidden/>
          </w:rPr>
          <w:fldChar w:fldCharType="begin"/>
        </w:r>
        <w:r>
          <w:rPr>
            <w:noProof/>
            <w:webHidden/>
          </w:rPr>
          <w:instrText xml:space="preserve"> PAGEREF _Toc220506561 \h </w:instrText>
        </w:r>
        <w:r>
          <w:rPr>
            <w:noProof/>
            <w:webHidden/>
          </w:rPr>
        </w:r>
        <w:r>
          <w:rPr>
            <w:noProof/>
            <w:webHidden/>
          </w:rPr>
          <w:fldChar w:fldCharType="separate"/>
        </w:r>
        <w:r>
          <w:rPr>
            <w:noProof/>
            <w:webHidden/>
          </w:rPr>
          <w:t>17</w:t>
        </w:r>
        <w:r>
          <w:rPr>
            <w:noProof/>
            <w:webHidden/>
          </w:rPr>
          <w:fldChar w:fldCharType="end"/>
        </w:r>
      </w:hyperlink>
    </w:p>
    <w:p w14:paraId="2711880D" w14:textId="0170D33C"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2" w:history="1">
        <w:r w:rsidRPr="00F33F06">
          <w:rPr>
            <w:rStyle w:val="Collegamentoipertestuale"/>
            <w:rFonts w:eastAsia="Verdana"/>
            <w:smallCaps/>
            <w:noProof/>
            <w:lang w:bidi="it-IT"/>
          </w:rPr>
          <w:t>7.8 OdV e Rapporti con RPCT</w:t>
        </w:r>
        <w:r>
          <w:rPr>
            <w:noProof/>
            <w:webHidden/>
          </w:rPr>
          <w:tab/>
        </w:r>
        <w:r>
          <w:rPr>
            <w:noProof/>
            <w:webHidden/>
          </w:rPr>
          <w:fldChar w:fldCharType="begin"/>
        </w:r>
        <w:r>
          <w:rPr>
            <w:noProof/>
            <w:webHidden/>
          </w:rPr>
          <w:instrText xml:space="preserve"> PAGEREF _Toc220506562 \h </w:instrText>
        </w:r>
        <w:r>
          <w:rPr>
            <w:noProof/>
            <w:webHidden/>
          </w:rPr>
        </w:r>
        <w:r>
          <w:rPr>
            <w:noProof/>
            <w:webHidden/>
          </w:rPr>
          <w:fldChar w:fldCharType="separate"/>
        </w:r>
        <w:r>
          <w:rPr>
            <w:noProof/>
            <w:webHidden/>
          </w:rPr>
          <w:t>18</w:t>
        </w:r>
        <w:r>
          <w:rPr>
            <w:noProof/>
            <w:webHidden/>
          </w:rPr>
          <w:fldChar w:fldCharType="end"/>
        </w:r>
      </w:hyperlink>
    </w:p>
    <w:p w14:paraId="669D1AA2" w14:textId="016AEBD6"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3" w:history="1">
        <w:r w:rsidRPr="00F33F06">
          <w:rPr>
            <w:rStyle w:val="Collegamentoipertestuale"/>
            <w:rFonts w:eastAsia="Verdana"/>
            <w:smallCaps/>
            <w:noProof/>
            <w:lang w:bidi="it-IT"/>
          </w:rPr>
          <w:t>7.9 OIV o Soggetto con Funzioni analoghe</w:t>
        </w:r>
        <w:r>
          <w:rPr>
            <w:noProof/>
            <w:webHidden/>
          </w:rPr>
          <w:tab/>
        </w:r>
        <w:r>
          <w:rPr>
            <w:noProof/>
            <w:webHidden/>
          </w:rPr>
          <w:fldChar w:fldCharType="begin"/>
        </w:r>
        <w:r>
          <w:rPr>
            <w:noProof/>
            <w:webHidden/>
          </w:rPr>
          <w:instrText xml:space="preserve"> PAGEREF _Toc220506563 \h </w:instrText>
        </w:r>
        <w:r>
          <w:rPr>
            <w:noProof/>
            <w:webHidden/>
          </w:rPr>
        </w:r>
        <w:r>
          <w:rPr>
            <w:noProof/>
            <w:webHidden/>
          </w:rPr>
          <w:fldChar w:fldCharType="separate"/>
        </w:r>
        <w:r>
          <w:rPr>
            <w:noProof/>
            <w:webHidden/>
          </w:rPr>
          <w:t>18</w:t>
        </w:r>
        <w:r>
          <w:rPr>
            <w:noProof/>
            <w:webHidden/>
          </w:rPr>
          <w:fldChar w:fldCharType="end"/>
        </w:r>
      </w:hyperlink>
    </w:p>
    <w:p w14:paraId="3413B6BB" w14:textId="7FDA7798"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4" w:history="1">
        <w:r w:rsidRPr="00F33F06">
          <w:rPr>
            <w:rStyle w:val="Collegamentoipertestuale"/>
            <w:rFonts w:eastAsia="Verdana"/>
            <w:smallCaps/>
            <w:noProof/>
            <w:lang w:bidi="it-IT"/>
          </w:rPr>
          <w:t>7.10 Coinvolgimento dei Dipendenti nella Predisposizione ed attuazione del PTPCT</w:t>
        </w:r>
        <w:r>
          <w:rPr>
            <w:noProof/>
            <w:webHidden/>
          </w:rPr>
          <w:tab/>
        </w:r>
        <w:r>
          <w:rPr>
            <w:noProof/>
            <w:webHidden/>
          </w:rPr>
          <w:fldChar w:fldCharType="begin"/>
        </w:r>
        <w:r>
          <w:rPr>
            <w:noProof/>
            <w:webHidden/>
          </w:rPr>
          <w:instrText xml:space="preserve"> PAGEREF _Toc220506564 \h </w:instrText>
        </w:r>
        <w:r>
          <w:rPr>
            <w:noProof/>
            <w:webHidden/>
          </w:rPr>
        </w:r>
        <w:r>
          <w:rPr>
            <w:noProof/>
            <w:webHidden/>
          </w:rPr>
          <w:fldChar w:fldCharType="separate"/>
        </w:r>
        <w:r>
          <w:rPr>
            <w:noProof/>
            <w:webHidden/>
          </w:rPr>
          <w:t>19</w:t>
        </w:r>
        <w:r>
          <w:rPr>
            <w:noProof/>
            <w:webHidden/>
          </w:rPr>
          <w:fldChar w:fldCharType="end"/>
        </w:r>
      </w:hyperlink>
    </w:p>
    <w:p w14:paraId="735603C4" w14:textId="3990576F"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5" w:history="1">
        <w:r w:rsidRPr="00F33F06">
          <w:rPr>
            <w:rStyle w:val="Collegamentoipertestuale"/>
            <w:rFonts w:eastAsia="Verdana"/>
            <w:smallCaps/>
            <w:noProof/>
            <w:lang w:bidi="it-IT"/>
          </w:rPr>
          <w:t>7.11 Responsabili/Referenti di Area</w:t>
        </w:r>
        <w:r>
          <w:rPr>
            <w:noProof/>
            <w:webHidden/>
          </w:rPr>
          <w:tab/>
        </w:r>
        <w:r>
          <w:rPr>
            <w:noProof/>
            <w:webHidden/>
          </w:rPr>
          <w:fldChar w:fldCharType="begin"/>
        </w:r>
        <w:r>
          <w:rPr>
            <w:noProof/>
            <w:webHidden/>
          </w:rPr>
          <w:instrText xml:space="preserve"> PAGEREF _Toc220506565 \h </w:instrText>
        </w:r>
        <w:r>
          <w:rPr>
            <w:noProof/>
            <w:webHidden/>
          </w:rPr>
        </w:r>
        <w:r>
          <w:rPr>
            <w:noProof/>
            <w:webHidden/>
          </w:rPr>
          <w:fldChar w:fldCharType="separate"/>
        </w:r>
        <w:r>
          <w:rPr>
            <w:noProof/>
            <w:webHidden/>
          </w:rPr>
          <w:t>19</w:t>
        </w:r>
        <w:r>
          <w:rPr>
            <w:noProof/>
            <w:webHidden/>
          </w:rPr>
          <w:fldChar w:fldCharType="end"/>
        </w:r>
      </w:hyperlink>
    </w:p>
    <w:p w14:paraId="45DB5C41" w14:textId="0F91D3EA"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6" w:history="1">
        <w:r w:rsidRPr="00F33F06">
          <w:rPr>
            <w:rStyle w:val="Collegamentoipertestuale"/>
            <w:rFonts w:eastAsia="Verdana"/>
            <w:smallCaps/>
            <w:noProof/>
            <w:lang w:bidi="it-IT"/>
          </w:rPr>
          <w:t>8.</w:t>
        </w:r>
        <w:r>
          <w:rPr>
            <w:rStyle w:val="Collegamentoipertestuale"/>
            <w:rFonts w:eastAsia="Verdana"/>
            <w:smallCaps/>
            <w:noProof/>
            <w:lang w:bidi="it-IT"/>
          </w:rPr>
          <w:t xml:space="preserve"> </w:t>
        </w:r>
        <w:r w:rsidRPr="00F33F06">
          <w:rPr>
            <w:rStyle w:val="Collegamentoipertestuale"/>
            <w:rFonts w:eastAsia="Verdana"/>
            <w:smallCaps/>
            <w:noProof/>
            <w:lang w:bidi="it-IT"/>
          </w:rPr>
          <w:t>Il PTPCT 2026-2028</w:t>
        </w:r>
        <w:r>
          <w:rPr>
            <w:noProof/>
            <w:webHidden/>
          </w:rPr>
          <w:tab/>
        </w:r>
        <w:r>
          <w:rPr>
            <w:noProof/>
            <w:webHidden/>
          </w:rPr>
          <w:fldChar w:fldCharType="begin"/>
        </w:r>
        <w:r>
          <w:rPr>
            <w:noProof/>
            <w:webHidden/>
          </w:rPr>
          <w:instrText xml:space="preserve"> PAGEREF _Toc220506566 \h </w:instrText>
        </w:r>
        <w:r>
          <w:rPr>
            <w:noProof/>
            <w:webHidden/>
          </w:rPr>
        </w:r>
        <w:r>
          <w:rPr>
            <w:noProof/>
            <w:webHidden/>
          </w:rPr>
          <w:fldChar w:fldCharType="separate"/>
        </w:r>
        <w:r>
          <w:rPr>
            <w:noProof/>
            <w:webHidden/>
          </w:rPr>
          <w:t>20</w:t>
        </w:r>
        <w:r>
          <w:rPr>
            <w:noProof/>
            <w:webHidden/>
          </w:rPr>
          <w:fldChar w:fldCharType="end"/>
        </w:r>
      </w:hyperlink>
    </w:p>
    <w:p w14:paraId="0B6F12BE" w14:textId="65805B8E"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7" w:history="1">
        <w:r w:rsidRPr="00F33F06">
          <w:rPr>
            <w:rStyle w:val="Collegamentoipertestuale"/>
            <w:rFonts w:eastAsia="Verdana"/>
            <w:smallCaps/>
            <w:noProof/>
            <w:lang w:bidi="it-IT"/>
          </w:rPr>
          <w:t>8.1</w:t>
        </w:r>
        <w:r>
          <w:rPr>
            <w:rStyle w:val="Collegamentoipertestuale"/>
            <w:rFonts w:eastAsia="Verdana"/>
            <w:smallCaps/>
            <w:noProof/>
            <w:lang w:bidi="it-IT"/>
          </w:rPr>
          <w:t xml:space="preserve"> </w:t>
        </w:r>
        <w:r w:rsidRPr="00F33F06">
          <w:rPr>
            <w:rStyle w:val="Collegamentoipertestuale"/>
            <w:rFonts w:eastAsia="Verdana"/>
            <w:smallCaps/>
            <w:noProof/>
            <w:lang w:bidi="it-IT"/>
          </w:rPr>
          <w:t>Contesti</w:t>
        </w:r>
        <w:r>
          <w:rPr>
            <w:noProof/>
            <w:webHidden/>
          </w:rPr>
          <w:tab/>
        </w:r>
        <w:r>
          <w:rPr>
            <w:noProof/>
            <w:webHidden/>
          </w:rPr>
          <w:fldChar w:fldCharType="begin"/>
        </w:r>
        <w:r>
          <w:rPr>
            <w:noProof/>
            <w:webHidden/>
          </w:rPr>
          <w:instrText xml:space="preserve"> PAGEREF _Toc220506567 \h </w:instrText>
        </w:r>
        <w:r>
          <w:rPr>
            <w:noProof/>
            <w:webHidden/>
          </w:rPr>
        </w:r>
        <w:r>
          <w:rPr>
            <w:noProof/>
            <w:webHidden/>
          </w:rPr>
          <w:fldChar w:fldCharType="separate"/>
        </w:r>
        <w:r>
          <w:rPr>
            <w:noProof/>
            <w:webHidden/>
          </w:rPr>
          <w:t>22</w:t>
        </w:r>
        <w:r>
          <w:rPr>
            <w:noProof/>
            <w:webHidden/>
          </w:rPr>
          <w:fldChar w:fldCharType="end"/>
        </w:r>
      </w:hyperlink>
    </w:p>
    <w:p w14:paraId="3F2EB06E" w14:textId="73182689"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8" w:history="1">
        <w:r w:rsidRPr="00F33F06">
          <w:rPr>
            <w:rStyle w:val="Collegamentoipertestuale"/>
            <w:rFonts w:eastAsia="Verdana"/>
            <w:noProof/>
            <w:lang w:bidi="it-IT"/>
          </w:rPr>
          <w:t>8</w:t>
        </w:r>
        <w:r w:rsidRPr="00F33F06">
          <w:rPr>
            <w:rStyle w:val="Collegamentoipertestuale"/>
            <w:rFonts w:eastAsia="Verdana"/>
            <w:smallCaps/>
            <w:noProof/>
            <w:lang w:bidi="it-IT"/>
          </w:rPr>
          <w:t>.1.1 Contesto Esterno</w:t>
        </w:r>
        <w:r>
          <w:rPr>
            <w:noProof/>
            <w:webHidden/>
          </w:rPr>
          <w:tab/>
        </w:r>
        <w:r>
          <w:rPr>
            <w:noProof/>
            <w:webHidden/>
          </w:rPr>
          <w:fldChar w:fldCharType="begin"/>
        </w:r>
        <w:r>
          <w:rPr>
            <w:noProof/>
            <w:webHidden/>
          </w:rPr>
          <w:instrText xml:space="preserve"> PAGEREF _Toc220506568 \h </w:instrText>
        </w:r>
        <w:r>
          <w:rPr>
            <w:noProof/>
            <w:webHidden/>
          </w:rPr>
        </w:r>
        <w:r>
          <w:rPr>
            <w:noProof/>
            <w:webHidden/>
          </w:rPr>
          <w:fldChar w:fldCharType="separate"/>
        </w:r>
        <w:r>
          <w:rPr>
            <w:noProof/>
            <w:webHidden/>
          </w:rPr>
          <w:t>22</w:t>
        </w:r>
        <w:r>
          <w:rPr>
            <w:noProof/>
            <w:webHidden/>
          </w:rPr>
          <w:fldChar w:fldCharType="end"/>
        </w:r>
      </w:hyperlink>
    </w:p>
    <w:p w14:paraId="7D3348A5" w14:textId="7D28DAB8"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69" w:history="1">
        <w:r w:rsidRPr="00F33F06">
          <w:rPr>
            <w:rStyle w:val="Collegamentoipertestuale"/>
            <w:rFonts w:eastAsia="Verdana"/>
            <w:smallCaps/>
            <w:noProof/>
            <w:lang w:bidi="it-IT"/>
          </w:rPr>
          <w:t>8.1.2 Contesto Interno e Organizzativo</w:t>
        </w:r>
        <w:r>
          <w:rPr>
            <w:noProof/>
            <w:webHidden/>
          </w:rPr>
          <w:tab/>
        </w:r>
        <w:r>
          <w:rPr>
            <w:noProof/>
            <w:webHidden/>
          </w:rPr>
          <w:fldChar w:fldCharType="begin"/>
        </w:r>
        <w:r>
          <w:rPr>
            <w:noProof/>
            <w:webHidden/>
          </w:rPr>
          <w:instrText xml:space="preserve"> PAGEREF _Toc220506569 \h </w:instrText>
        </w:r>
        <w:r>
          <w:rPr>
            <w:noProof/>
            <w:webHidden/>
          </w:rPr>
        </w:r>
        <w:r>
          <w:rPr>
            <w:noProof/>
            <w:webHidden/>
          </w:rPr>
          <w:fldChar w:fldCharType="separate"/>
        </w:r>
        <w:r>
          <w:rPr>
            <w:noProof/>
            <w:webHidden/>
          </w:rPr>
          <w:t>27</w:t>
        </w:r>
        <w:r>
          <w:rPr>
            <w:noProof/>
            <w:webHidden/>
          </w:rPr>
          <w:fldChar w:fldCharType="end"/>
        </w:r>
      </w:hyperlink>
    </w:p>
    <w:p w14:paraId="3376D63B" w14:textId="66F1571F"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0" w:history="1">
        <w:r w:rsidRPr="00F33F06">
          <w:rPr>
            <w:rStyle w:val="Collegamentoipertestuale"/>
            <w:rFonts w:eastAsia="Verdana"/>
            <w:smallCaps/>
            <w:noProof/>
            <w:lang w:bidi="it-IT"/>
          </w:rPr>
          <w:t>9.</w:t>
        </w:r>
        <w:r>
          <w:rPr>
            <w:rStyle w:val="Collegamentoipertestuale"/>
            <w:rFonts w:eastAsia="Verdana"/>
            <w:smallCaps/>
            <w:noProof/>
            <w:lang w:bidi="it-IT"/>
          </w:rPr>
          <w:t xml:space="preserve"> </w:t>
        </w:r>
        <w:r w:rsidRPr="00F33F06">
          <w:rPr>
            <w:rStyle w:val="Collegamentoipertestuale"/>
            <w:rFonts w:eastAsia="Verdana"/>
            <w:smallCaps/>
            <w:noProof/>
            <w:lang w:bidi="it-IT"/>
          </w:rPr>
          <w:t>Mappatura dei Processi, Misure di Prevenzione e Gestione del Rischio (rinvio ad all.1)</w:t>
        </w:r>
        <w:r>
          <w:rPr>
            <w:noProof/>
            <w:webHidden/>
          </w:rPr>
          <w:tab/>
        </w:r>
        <w:r>
          <w:rPr>
            <w:noProof/>
            <w:webHidden/>
          </w:rPr>
          <w:fldChar w:fldCharType="begin"/>
        </w:r>
        <w:r>
          <w:rPr>
            <w:noProof/>
            <w:webHidden/>
          </w:rPr>
          <w:instrText xml:space="preserve"> PAGEREF _Toc220506570 \h </w:instrText>
        </w:r>
        <w:r>
          <w:rPr>
            <w:noProof/>
            <w:webHidden/>
          </w:rPr>
        </w:r>
        <w:r>
          <w:rPr>
            <w:noProof/>
            <w:webHidden/>
          </w:rPr>
          <w:fldChar w:fldCharType="separate"/>
        </w:r>
        <w:r>
          <w:rPr>
            <w:noProof/>
            <w:webHidden/>
          </w:rPr>
          <w:t>29</w:t>
        </w:r>
        <w:r>
          <w:rPr>
            <w:noProof/>
            <w:webHidden/>
          </w:rPr>
          <w:fldChar w:fldCharType="end"/>
        </w:r>
      </w:hyperlink>
    </w:p>
    <w:p w14:paraId="71056BAC" w14:textId="120E189C"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1" w:history="1">
        <w:r w:rsidRPr="00F33F06">
          <w:rPr>
            <w:rStyle w:val="Collegamentoipertestuale"/>
            <w:rFonts w:eastAsia="Verdana"/>
            <w:noProof/>
            <w:lang w:bidi="it-IT"/>
          </w:rPr>
          <w:t xml:space="preserve">9.1. </w:t>
        </w:r>
        <w:r w:rsidRPr="00F33F06">
          <w:rPr>
            <w:rStyle w:val="Collegamentoipertestuale"/>
            <w:rFonts w:eastAsia="Verdana"/>
            <w:smallCaps/>
            <w:noProof/>
            <w:lang w:bidi="it-IT"/>
          </w:rPr>
          <w:t>Relazione adempimento Piano di Monitoraggio 2024 e il Piano di Monitoraggio per il 2025</w:t>
        </w:r>
        <w:r>
          <w:rPr>
            <w:noProof/>
            <w:webHidden/>
          </w:rPr>
          <w:tab/>
        </w:r>
        <w:r>
          <w:rPr>
            <w:noProof/>
            <w:webHidden/>
          </w:rPr>
          <w:fldChar w:fldCharType="begin"/>
        </w:r>
        <w:r>
          <w:rPr>
            <w:noProof/>
            <w:webHidden/>
          </w:rPr>
          <w:instrText xml:space="preserve"> PAGEREF _Toc220506571 \h </w:instrText>
        </w:r>
        <w:r>
          <w:rPr>
            <w:noProof/>
            <w:webHidden/>
          </w:rPr>
        </w:r>
        <w:r>
          <w:rPr>
            <w:noProof/>
            <w:webHidden/>
          </w:rPr>
          <w:fldChar w:fldCharType="separate"/>
        </w:r>
        <w:r>
          <w:rPr>
            <w:noProof/>
            <w:webHidden/>
          </w:rPr>
          <w:t>34</w:t>
        </w:r>
        <w:r>
          <w:rPr>
            <w:noProof/>
            <w:webHidden/>
          </w:rPr>
          <w:fldChar w:fldCharType="end"/>
        </w:r>
      </w:hyperlink>
    </w:p>
    <w:p w14:paraId="7800A84E" w14:textId="4E2288A8"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2" w:history="1">
        <w:r w:rsidRPr="00F33F06">
          <w:rPr>
            <w:rStyle w:val="Collegamentoipertestuale"/>
            <w:rFonts w:eastAsia="Verdana"/>
            <w:smallCaps/>
            <w:noProof/>
            <w:lang w:bidi="it-IT"/>
          </w:rPr>
          <w:t>10. Misure Obbligatorie</w:t>
        </w:r>
        <w:r>
          <w:rPr>
            <w:noProof/>
            <w:webHidden/>
          </w:rPr>
          <w:tab/>
        </w:r>
        <w:r>
          <w:rPr>
            <w:noProof/>
            <w:webHidden/>
          </w:rPr>
          <w:fldChar w:fldCharType="begin"/>
        </w:r>
        <w:r>
          <w:rPr>
            <w:noProof/>
            <w:webHidden/>
          </w:rPr>
          <w:instrText xml:space="preserve"> PAGEREF _Toc220506572 \h </w:instrText>
        </w:r>
        <w:r>
          <w:rPr>
            <w:noProof/>
            <w:webHidden/>
          </w:rPr>
        </w:r>
        <w:r>
          <w:rPr>
            <w:noProof/>
            <w:webHidden/>
          </w:rPr>
          <w:fldChar w:fldCharType="separate"/>
        </w:r>
        <w:r>
          <w:rPr>
            <w:noProof/>
            <w:webHidden/>
          </w:rPr>
          <w:t>35</w:t>
        </w:r>
        <w:r>
          <w:rPr>
            <w:noProof/>
            <w:webHidden/>
          </w:rPr>
          <w:fldChar w:fldCharType="end"/>
        </w:r>
      </w:hyperlink>
    </w:p>
    <w:p w14:paraId="4C45BE3B" w14:textId="6FF0A9F1"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3" w:history="1">
        <w:r w:rsidRPr="00F33F06">
          <w:rPr>
            <w:rStyle w:val="Collegamentoipertestuale"/>
            <w:rFonts w:eastAsia="Verdana"/>
            <w:smallCaps/>
            <w:noProof/>
            <w:lang w:bidi="it-IT"/>
          </w:rPr>
          <w:t>10.1 “Incompatibilità successiva” (</w:t>
        </w:r>
        <w:r w:rsidRPr="00F33F06">
          <w:rPr>
            <w:rStyle w:val="Collegamentoipertestuale"/>
            <w:rFonts w:eastAsia="Verdana"/>
            <w:i/>
            <w:smallCaps/>
            <w:noProof/>
            <w:lang w:bidi="it-IT"/>
          </w:rPr>
          <w:t>pantouflage</w:t>
        </w:r>
        <w:r w:rsidRPr="00F33F06">
          <w:rPr>
            <w:rStyle w:val="Collegamentoipertestuale"/>
            <w:rFonts w:eastAsia="Verdana"/>
            <w:smallCaps/>
            <w:noProof/>
            <w:lang w:bidi="it-IT"/>
          </w:rPr>
          <w:t>)</w:t>
        </w:r>
        <w:r>
          <w:rPr>
            <w:noProof/>
            <w:webHidden/>
          </w:rPr>
          <w:tab/>
        </w:r>
        <w:r>
          <w:rPr>
            <w:noProof/>
            <w:webHidden/>
          </w:rPr>
          <w:fldChar w:fldCharType="begin"/>
        </w:r>
        <w:r>
          <w:rPr>
            <w:noProof/>
            <w:webHidden/>
          </w:rPr>
          <w:instrText xml:space="preserve"> PAGEREF _Toc220506573 \h </w:instrText>
        </w:r>
        <w:r>
          <w:rPr>
            <w:noProof/>
            <w:webHidden/>
          </w:rPr>
        </w:r>
        <w:r>
          <w:rPr>
            <w:noProof/>
            <w:webHidden/>
          </w:rPr>
          <w:fldChar w:fldCharType="separate"/>
        </w:r>
        <w:r>
          <w:rPr>
            <w:noProof/>
            <w:webHidden/>
          </w:rPr>
          <w:t>35</w:t>
        </w:r>
        <w:r>
          <w:rPr>
            <w:noProof/>
            <w:webHidden/>
          </w:rPr>
          <w:fldChar w:fldCharType="end"/>
        </w:r>
      </w:hyperlink>
    </w:p>
    <w:p w14:paraId="2A9FCE0D" w14:textId="6EE64DD3"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4" w:history="1">
        <w:r w:rsidRPr="00F33F06">
          <w:rPr>
            <w:rStyle w:val="Collegamentoipertestuale"/>
            <w:rFonts w:eastAsia="Verdana"/>
            <w:smallCaps/>
            <w:noProof/>
            <w:lang w:bidi="it-IT"/>
          </w:rPr>
          <w:t>10.2</w:t>
        </w:r>
        <w:r>
          <w:rPr>
            <w:rFonts w:asciiTheme="minorHAnsi" w:eastAsiaTheme="minorEastAsia" w:hAnsiTheme="minorHAnsi" w:cstheme="minorBidi"/>
            <w:noProof/>
            <w:kern w:val="2"/>
            <w:sz w:val="24"/>
            <w:szCs w:val="24"/>
            <w:lang w:eastAsia="it-IT"/>
            <w14:ligatures w14:val="standardContextual"/>
          </w:rPr>
          <w:tab/>
        </w:r>
        <w:r w:rsidRPr="00F33F06">
          <w:rPr>
            <w:rStyle w:val="Collegamentoipertestuale"/>
            <w:rFonts w:eastAsia="Verdana"/>
            <w:smallCaps/>
            <w:noProof/>
            <w:lang w:bidi="it-IT"/>
          </w:rPr>
          <w:t>Rotazione degli incarichi (ordinaria e straordinaria)</w:t>
        </w:r>
        <w:r>
          <w:rPr>
            <w:noProof/>
            <w:webHidden/>
          </w:rPr>
          <w:tab/>
        </w:r>
        <w:r>
          <w:rPr>
            <w:noProof/>
            <w:webHidden/>
          </w:rPr>
          <w:fldChar w:fldCharType="begin"/>
        </w:r>
        <w:r>
          <w:rPr>
            <w:noProof/>
            <w:webHidden/>
          </w:rPr>
          <w:instrText xml:space="preserve"> PAGEREF _Toc220506574 \h </w:instrText>
        </w:r>
        <w:r>
          <w:rPr>
            <w:noProof/>
            <w:webHidden/>
          </w:rPr>
        </w:r>
        <w:r>
          <w:rPr>
            <w:noProof/>
            <w:webHidden/>
          </w:rPr>
          <w:fldChar w:fldCharType="separate"/>
        </w:r>
        <w:r>
          <w:rPr>
            <w:noProof/>
            <w:webHidden/>
          </w:rPr>
          <w:t>36</w:t>
        </w:r>
        <w:r>
          <w:rPr>
            <w:noProof/>
            <w:webHidden/>
          </w:rPr>
          <w:fldChar w:fldCharType="end"/>
        </w:r>
      </w:hyperlink>
    </w:p>
    <w:p w14:paraId="4FB0A2C9" w14:textId="24E490EE"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5" w:history="1">
        <w:r w:rsidRPr="00F33F06">
          <w:rPr>
            <w:rStyle w:val="Collegamentoipertestuale"/>
            <w:rFonts w:eastAsia="Verdana"/>
            <w:smallCaps/>
            <w:noProof/>
            <w:lang w:bidi="it-IT"/>
          </w:rPr>
          <w:t>10.3</w:t>
        </w:r>
        <w:r>
          <w:rPr>
            <w:rFonts w:asciiTheme="minorHAnsi" w:eastAsiaTheme="minorEastAsia" w:hAnsiTheme="minorHAnsi" w:cstheme="minorBidi"/>
            <w:noProof/>
            <w:kern w:val="2"/>
            <w:sz w:val="24"/>
            <w:szCs w:val="24"/>
            <w:lang w:eastAsia="it-IT"/>
            <w14:ligatures w14:val="standardContextual"/>
          </w:rPr>
          <w:tab/>
        </w:r>
        <w:r w:rsidRPr="00F33F06">
          <w:rPr>
            <w:rStyle w:val="Collegamentoipertestuale"/>
            <w:rFonts w:eastAsia="Verdana"/>
            <w:smallCaps/>
            <w:noProof/>
            <w:lang w:bidi="it-IT"/>
          </w:rPr>
          <w:t>Inconferibilità ed Incompatibilità degli incarichi</w:t>
        </w:r>
        <w:r>
          <w:rPr>
            <w:noProof/>
            <w:webHidden/>
          </w:rPr>
          <w:tab/>
        </w:r>
        <w:r>
          <w:rPr>
            <w:noProof/>
            <w:webHidden/>
          </w:rPr>
          <w:fldChar w:fldCharType="begin"/>
        </w:r>
        <w:r>
          <w:rPr>
            <w:noProof/>
            <w:webHidden/>
          </w:rPr>
          <w:instrText xml:space="preserve"> PAGEREF _Toc220506575 \h </w:instrText>
        </w:r>
        <w:r>
          <w:rPr>
            <w:noProof/>
            <w:webHidden/>
          </w:rPr>
        </w:r>
        <w:r>
          <w:rPr>
            <w:noProof/>
            <w:webHidden/>
          </w:rPr>
          <w:fldChar w:fldCharType="separate"/>
        </w:r>
        <w:r>
          <w:rPr>
            <w:noProof/>
            <w:webHidden/>
          </w:rPr>
          <w:t>37</w:t>
        </w:r>
        <w:r>
          <w:rPr>
            <w:noProof/>
            <w:webHidden/>
          </w:rPr>
          <w:fldChar w:fldCharType="end"/>
        </w:r>
      </w:hyperlink>
    </w:p>
    <w:p w14:paraId="4661DF99" w14:textId="53019792"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6" w:history="1">
        <w:r w:rsidRPr="00F33F06">
          <w:rPr>
            <w:rStyle w:val="Collegamentoipertestuale"/>
            <w:rFonts w:eastAsia="Verdana"/>
            <w:smallCaps/>
            <w:noProof/>
            <w:lang w:bidi="it-IT"/>
          </w:rPr>
          <w:t>10.4 Whistleblowing Policy</w:t>
        </w:r>
        <w:r>
          <w:rPr>
            <w:noProof/>
            <w:webHidden/>
          </w:rPr>
          <w:tab/>
        </w:r>
        <w:r>
          <w:rPr>
            <w:noProof/>
            <w:webHidden/>
          </w:rPr>
          <w:fldChar w:fldCharType="begin"/>
        </w:r>
        <w:r>
          <w:rPr>
            <w:noProof/>
            <w:webHidden/>
          </w:rPr>
          <w:instrText xml:space="preserve"> PAGEREF _Toc220506576 \h </w:instrText>
        </w:r>
        <w:r>
          <w:rPr>
            <w:noProof/>
            <w:webHidden/>
          </w:rPr>
        </w:r>
        <w:r>
          <w:rPr>
            <w:noProof/>
            <w:webHidden/>
          </w:rPr>
          <w:fldChar w:fldCharType="separate"/>
        </w:r>
        <w:r>
          <w:rPr>
            <w:noProof/>
            <w:webHidden/>
          </w:rPr>
          <w:t>40</w:t>
        </w:r>
        <w:r>
          <w:rPr>
            <w:noProof/>
            <w:webHidden/>
          </w:rPr>
          <w:fldChar w:fldCharType="end"/>
        </w:r>
      </w:hyperlink>
    </w:p>
    <w:p w14:paraId="33CBBD9C" w14:textId="1F597377"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7" w:history="1">
        <w:r w:rsidRPr="00F33F06">
          <w:rPr>
            <w:rStyle w:val="Collegamentoipertestuale"/>
            <w:rFonts w:eastAsia="Verdana"/>
            <w:smallCaps/>
            <w:noProof/>
            <w:lang w:bidi="it-IT"/>
          </w:rPr>
          <w:t>10.5 Formazione di Commissioni</w:t>
        </w:r>
        <w:r>
          <w:rPr>
            <w:noProof/>
            <w:webHidden/>
          </w:rPr>
          <w:tab/>
        </w:r>
        <w:r>
          <w:rPr>
            <w:noProof/>
            <w:webHidden/>
          </w:rPr>
          <w:fldChar w:fldCharType="begin"/>
        </w:r>
        <w:r>
          <w:rPr>
            <w:noProof/>
            <w:webHidden/>
          </w:rPr>
          <w:instrText xml:space="preserve"> PAGEREF _Toc220506577 \h </w:instrText>
        </w:r>
        <w:r>
          <w:rPr>
            <w:noProof/>
            <w:webHidden/>
          </w:rPr>
        </w:r>
        <w:r>
          <w:rPr>
            <w:noProof/>
            <w:webHidden/>
          </w:rPr>
          <w:fldChar w:fldCharType="separate"/>
        </w:r>
        <w:r>
          <w:rPr>
            <w:noProof/>
            <w:webHidden/>
          </w:rPr>
          <w:t>42</w:t>
        </w:r>
        <w:r>
          <w:rPr>
            <w:noProof/>
            <w:webHidden/>
          </w:rPr>
          <w:fldChar w:fldCharType="end"/>
        </w:r>
      </w:hyperlink>
    </w:p>
    <w:p w14:paraId="2A35D906" w14:textId="747D02CC"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8" w:history="1">
        <w:r w:rsidRPr="00F33F06">
          <w:rPr>
            <w:rStyle w:val="Collegamentoipertestuale"/>
            <w:rFonts w:eastAsia="Verdana"/>
            <w:smallCaps/>
            <w:noProof/>
            <w:lang w:bidi="it-IT"/>
          </w:rPr>
          <w:t>10.6 Casi Particolari: Inconferibilita’ ed Incompatibilità per incarichi dirigenziali</w:t>
        </w:r>
        <w:r>
          <w:rPr>
            <w:noProof/>
            <w:webHidden/>
          </w:rPr>
          <w:tab/>
        </w:r>
        <w:r>
          <w:rPr>
            <w:noProof/>
            <w:webHidden/>
          </w:rPr>
          <w:fldChar w:fldCharType="begin"/>
        </w:r>
        <w:r>
          <w:rPr>
            <w:noProof/>
            <w:webHidden/>
          </w:rPr>
          <w:instrText xml:space="preserve"> PAGEREF _Toc220506578 \h </w:instrText>
        </w:r>
        <w:r>
          <w:rPr>
            <w:noProof/>
            <w:webHidden/>
          </w:rPr>
        </w:r>
        <w:r>
          <w:rPr>
            <w:noProof/>
            <w:webHidden/>
          </w:rPr>
          <w:fldChar w:fldCharType="separate"/>
        </w:r>
        <w:r>
          <w:rPr>
            <w:noProof/>
            <w:webHidden/>
          </w:rPr>
          <w:t>43</w:t>
        </w:r>
        <w:r>
          <w:rPr>
            <w:noProof/>
            <w:webHidden/>
          </w:rPr>
          <w:fldChar w:fldCharType="end"/>
        </w:r>
      </w:hyperlink>
    </w:p>
    <w:p w14:paraId="6ED37C5D" w14:textId="308FA6EE"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79" w:history="1">
        <w:r w:rsidRPr="00F33F06">
          <w:rPr>
            <w:rStyle w:val="Collegamentoipertestuale"/>
            <w:rFonts w:eastAsia="Verdana"/>
            <w:smallCaps/>
            <w:noProof/>
            <w:lang w:bidi="it-IT"/>
          </w:rPr>
          <w:t>10.7 Formazione ed Informazione</w:t>
        </w:r>
        <w:r>
          <w:rPr>
            <w:noProof/>
            <w:webHidden/>
          </w:rPr>
          <w:tab/>
        </w:r>
        <w:r>
          <w:rPr>
            <w:noProof/>
            <w:webHidden/>
          </w:rPr>
          <w:fldChar w:fldCharType="begin"/>
        </w:r>
        <w:r>
          <w:rPr>
            <w:noProof/>
            <w:webHidden/>
          </w:rPr>
          <w:instrText xml:space="preserve"> PAGEREF _Toc220506579 \h </w:instrText>
        </w:r>
        <w:r>
          <w:rPr>
            <w:noProof/>
            <w:webHidden/>
          </w:rPr>
        </w:r>
        <w:r>
          <w:rPr>
            <w:noProof/>
            <w:webHidden/>
          </w:rPr>
          <w:fldChar w:fldCharType="separate"/>
        </w:r>
        <w:r>
          <w:rPr>
            <w:noProof/>
            <w:webHidden/>
          </w:rPr>
          <w:t>43</w:t>
        </w:r>
        <w:r>
          <w:rPr>
            <w:noProof/>
            <w:webHidden/>
          </w:rPr>
          <w:fldChar w:fldCharType="end"/>
        </w:r>
      </w:hyperlink>
    </w:p>
    <w:p w14:paraId="4256FD09" w14:textId="375CE902"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80" w:history="1">
        <w:r w:rsidRPr="00F33F06">
          <w:rPr>
            <w:rStyle w:val="Collegamentoipertestuale"/>
            <w:rFonts w:eastAsia="Verdana"/>
            <w:smallCaps/>
            <w:noProof/>
            <w:lang w:bidi="it-IT"/>
          </w:rPr>
          <w:t>10.8 Patti di Integrità negli Affidamenti</w:t>
        </w:r>
        <w:r>
          <w:rPr>
            <w:noProof/>
            <w:webHidden/>
          </w:rPr>
          <w:tab/>
        </w:r>
        <w:r>
          <w:rPr>
            <w:noProof/>
            <w:webHidden/>
          </w:rPr>
          <w:fldChar w:fldCharType="begin"/>
        </w:r>
        <w:r>
          <w:rPr>
            <w:noProof/>
            <w:webHidden/>
          </w:rPr>
          <w:instrText xml:space="preserve"> PAGEREF _Toc220506580 \h </w:instrText>
        </w:r>
        <w:r>
          <w:rPr>
            <w:noProof/>
            <w:webHidden/>
          </w:rPr>
        </w:r>
        <w:r>
          <w:rPr>
            <w:noProof/>
            <w:webHidden/>
          </w:rPr>
          <w:fldChar w:fldCharType="separate"/>
        </w:r>
        <w:r>
          <w:rPr>
            <w:noProof/>
            <w:webHidden/>
          </w:rPr>
          <w:t>44</w:t>
        </w:r>
        <w:r>
          <w:rPr>
            <w:noProof/>
            <w:webHidden/>
          </w:rPr>
          <w:fldChar w:fldCharType="end"/>
        </w:r>
      </w:hyperlink>
    </w:p>
    <w:p w14:paraId="1E3628D9" w14:textId="484359D5"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81" w:history="1">
        <w:r w:rsidRPr="00F33F06">
          <w:rPr>
            <w:rStyle w:val="Collegamentoipertestuale"/>
            <w:rFonts w:eastAsia="Verdana"/>
            <w:smallCaps/>
            <w:noProof/>
            <w:lang w:bidi="it-IT"/>
          </w:rPr>
          <w:t>10.9 Limiti al ricorso all’Arbitrato</w:t>
        </w:r>
        <w:r>
          <w:rPr>
            <w:noProof/>
            <w:webHidden/>
          </w:rPr>
          <w:tab/>
        </w:r>
        <w:r>
          <w:rPr>
            <w:noProof/>
            <w:webHidden/>
          </w:rPr>
          <w:fldChar w:fldCharType="begin"/>
        </w:r>
        <w:r>
          <w:rPr>
            <w:noProof/>
            <w:webHidden/>
          </w:rPr>
          <w:instrText xml:space="preserve"> PAGEREF _Toc220506581 \h </w:instrText>
        </w:r>
        <w:r>
          <w:rPr>
            <w:noProof/>
            <w:webHidden/>
          </w:rPr>
        </w:r>
        <w:r>
          <w:rPr>
            <w:noProof/>
            <w:webHidden/>
          </w:rPr>
          <w:fldChar w:fldCharType="separate"/>
        </w:r>
        <w:r>
          <w:rPr>
            <w:noProof/>
            <w:webHidden/>
          </w:rPr>
          <w:t>44</w:t>
        </w:r>
        <w:r>
          <w:rPr>
            <w:noProof/>
            <w:webHidden/>
          </w:rPr>
          <w:fldChar w:fldCharType="end"/>
        </w:r>
      </w:hyperlink>
    </w:p>
    <w:p w14:paraId="1EC9D9DC" w14:textId="7C497DB9"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82" w:history="1">
        <w:r w:rsidRPr="00F33F06">
          <w:rPr>
            <w:rStyle w:val="Collegamentoipertestuale"/>
            <w:rFonts w:eastAsia="Verdana"/>
            <w:smallCaps/>
            <w:noProof/>
            <w:lang w:bidi="it-IT"/>
          </w:rPr>
          <w:t>11. Programma Misure Generali e loro Attuazione</w:t>
        </w:r>
        <w:r>
          <w:rPr>
            <w:noProof/>
            <w:webHidden/>
          </w:rPr>
          <w:tab/>
        </w:r>
        <w:r>
          <w:rPr>
            <w:noProof/>
            <w:webHidden/>
          </w:rPr>
          <w:fldChar w:fldCharType="begin"/>
        </w:r>
        <w:r>
          <w:rPr>
            <w:noProof/>
            <w:webHidden/>
          </w:rPr>
          <w:instrText xml:space="preserve"> PAGEREF _Toc220506582 \h </w:instrText>
        </w:r>
        <w:r>
          <w:rPr>
            <w:noProof/>
            <w:webHidden/>
          </w:rPr>
        </w:r>
        <w:r>
          <w:rPr>
            <w:noProof/>
            <w:webHidden/>
          </w:rPr>
          <w:fldChar w:fldCharType="separate"/>
        </w:r>
        <w:r>
          <w:rPr>
            <w:noProof/>
            <w:webHidden/>
          </w:rPr>
          <w:t>45</w:t>
        </w:r>
        <w:r>
          <w:rPr>
            <w:noProof/>
            <w:webHidden/>
          </w:rPr>
          <w:fldChar w:fldCharType="end"/>
        </w:r>
      </w:hyperlink>
    </w:p>
    <w:p w14:paraId="40B79C45" w14:textId="1C7F9D4F"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83" w:history="1">
        <w:r w:rsidRPr="00F33F06">
          <w:rPr>
            <w:rStyle w:val="Collegamentoipertestuale"/>
            <w:rFonts w:eastAsia="Verdana"/>
            <w:smallCaps/>
            <w:noProof/>
            <w:lang w:bidi="it-IT"/>
          </w:rPr>
          <w:t>12. Il Piano della Trasparenza</w:t>
        </w:r>
        <w:r>
          <w:rPr>
            <w:noProof/>
            <w:webHidden/>
          </w:rPr>
          <w:tab/>
        </w:r>
        <w:r>
          <w:rPr>
            <w:noProof/>
            <w:webHidden/>
          </w:rPr>
          <w:fldChar w:fldCharType="begin"/>
        </w:r>
        <w:r>
          <w:rPr>
            <w:noProof/>
            <w:webHidden/>
          </w:rPr>
          <w:instrText xml:space="preserve"> PAGEREF _Toc220506583 \h </w:instrText>
        </w:r>
        <w:r>
          <w:rPr>
            <w:noProof/>
            <w:webHidden/>
          </w:rPr>
        </w:r>
        <w:r>
          <w:rPr>
            <w:noProof/>
            <w:webHidden/>
          </w:rPr>
          <w:fldChar w:fldCharType="separate"/>
        </w:r>
        <w:r>
          <w:rPr>
            <w:noProof/>
            <w:webHidden/>
          </w:rPr>
          <w:t>46</w:t>
        </w:r>
        <w:r>
          <w:rPr>
            <w:noProof/>
            <w:webHidden/>
          </w:rPr>
          <w:fldChar w:fldCharType="end"/>
        </w:r>
      </w:hyperlink>
    </w:p>
    <w:p w14:paraId="5EF2EA9E" w14:textId="770EBA4C"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r w:rsidRPr="00F33F06">
        <w:rPr>
          <w:rStyle w:val="Collegamentoipertestuale"/>
          <w:rFonts w:eastAsia="Verdana"/>
          <w:noProof/>
        </w:rPr>
        <w:fldChar w:fldCharType="begin"/>
      </w:r>
      <w:r w:rsidRPr="00F33F06">
        <w:rPr>
          <w:rStyle w:val="Collegamentoipertestuale"/>
          <w:rFonts w:eastAsia="Verdana"/>
          <w:noProof/>
        </w:rPr>
        <w:instrText xml:space="preserve"> </w:instrText>
      </w:r>
      <w:r>
        <w:rPr>
          <w:noProof/>
        </w:rPr>
        <w:instrText>HYPERLINK \l "_Toc220506584"</w:instrText>
      </w:r>
      <w:r w:rsidRPr="00F33F06">
        <w:rPr>
          <w:rStyle w:val="Collegamentoipertestuale"/>
          <w:rFonts w:eastAsia="Verdana"/>
          <w:noProof/>
        </w:rPr>
        <w:instrText xml:space="preserve"> </w:instrText>
      </w:r>
      <w:r w:rsidRPr="00F33F06">
        <w:rPr>
          <w:rStyle w:val="Collegamentoipertestuale"/>
          <w:rFonts w:eastAsia="Verdana"/>
          <w:noProof/>
        </w:rPr>
      </w:r>
      <w:r w:rsidRPr="00F33F06">
        <w:rPr>
          <w:rStyle w:val="Collegamentoipertestuale"/>
          <w:rFonts w:eastAsia="Verdana"/>
          <w:noProof/>
        </w:rPr>
        <w:fldChar w:fldCharType="separate"/>
      </w:r>
      <w:r w:rsidRPr="00F33F06">
        <w:rPr>
          <w:rStyle w:val="Collegamentoipertestuale"/>
          <w:rFonts w:eastAsia="Verdana"/>
          <w:smallCaps/>
          <w:noProof/>
          <w:lang w:bidi="it-IT"/>
        </w:rPr>
        <w:t>13</w:t>
      </w:r>
      <w:r>
        <w:rPr>
          <w:rStyle w:val="Collegamentoipertestuale"/>
          <w:rFonts w:eastAsia="Verdana"/>
          <w:smallCaps/>
          <w:noProof/>
          <w:lang w:bidi="it-IT"/>
        </w:rPr>
        <w:t xml:space="preserve"> </w:t>
      </w:r>
      <w:r w:rsidRPr="00F33F06">
        <w:rPr>
          <w:rStyle w:val="Collegamentoipertestuale"/>
          <w:rFonts w:eastAsia="Verdana"/>
          <w:smallCaps/>
          <w:noProof/>
          <w:lang w:bidi="it-IT"/>
        </w:rPr>
        <w:t>Flussi Informativi e tabella oneri di pubblicazione</w:t>
      </w:r>
      <w:r>
        <w:rPr>
          <w:noProof/>
          <w:webHidden/>
        </w:rPr>
        <w:tab/>
      </w:r>
      <w:r>
        <w:rPr>
          <w:noProof/>
          <w:webHidden/>
        </w:rPr>
        <w:fldChar w:fldCharType="begin"/>
      </w:r>
      <w:r>
        <w:rPr>
          <w:noProof/>
          <w:webHidden/>
        </w:rPr>
        <w:instrText xml:space="preserve"> PAGEREF _Toc220506584 \h </w:instrText>
      </w:r>
      <w:r>
        <w:rPr>
          <w:noProof/>
          <w:webHidden/>
        </w:rPr>
      </w:r>
      <w:r>
        <w:rPr>
          <w:noProof/>
          <w:webHidden/>
        </w:rPr>
        <w:fldChar w:fldCharType="separate"/>
      </w:r>
      <w:r>
        <w:rPr>
          <w:noProof/>
          <w:webHidden/>
        </w:rPr>
        <w:t>48</w:t>
      </w:r>
      <w:r>
        <w:rPr>
          <w:noProof/>
          <w:webHidden/>
        </w:rPr>
        <w:fldChar w:fldCharType="end"/>
      </w:r>
      <w:r w:rsidRPr="00F33F06">
        <w:rPr>
          <w:rStyle w:val="Collegamentoipertestuale"/>
          <w:rFonts w:eastAsia="Verdana"/>
          <w:noProof/>
        </w:rPr>
        <w:fldChar w:fldCharType="end"/>
      </w:r>
    </w:p>
    <w:p w14:paraId="281F8A4A" w14:textId="45AC7B63"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85" w:history="1">
        <w:r w:rsidRPr="00F33F06">
          <w:rPr>
            <w:rStyle w:val="Collegamentoipertestuale"/>
            <w:rFonts w:eastAsia="Verdana"/>
            <w:smallCaps/>
            <w:noProof/>
            <w:lang w:bidi="it-IT"/>
          </w:rPr>
          <w:t>14. Accesso civico</w:t>
        </w:r>
        <w:r>
          <w:rPr>
            <w:noProof/>
            <w:webHidden/>
          </w:rPr>
          <w:tab/>
        </w:r>
        <w:r>
          <w:rPr>
            <w:noProof/>
            <w:webHidden/>
          </w:rPr>
          <w:fldChar w:fldCharType="begin"/>
        </w:r>
        <w:r>
          <w:rPr>
            <w:noProof/>
            <w:webHidden/>
          </w:rPr>
          <w:instrText xml:space="preserve"> PAGEREF _Toc220506585 \h </w:instrText>
        </w:r>
        <w:r>
          <w:rPr>
            <w:noProof/>
            <w:webHidden/>
          </w:rPr>
        </w:r>
        <w:r>
          <w:rPr>
            <w:noProof/>
            <w:webHidden/>
          </w:rPr>
          <w:fldChar w:fldCharType="separate"/>
        </w:r>
        <w:r>
          <w:rPr>
            <w:noProof/>
            <w:webHidden/>
          </w:rPr>
          <w:t>50</w:t>
        </w:r>
        <w:r>
          <w:rPr>
            <w:noProof/>
            <w:webHidden/>
          </w:rPr>
          <w:fldChar w:fldCharType="end"/>
        </w:r>
      </w:hyperlink>
    </w:p>
    <w:p w14:paraId="5D08F905" w14:textId="60BD7304" w:rsidR="00651949" w:rsidRDefault="00651949">
      <w:pPr>
        <w:pStyle w:val="Sommario1"/>
        <w:rPr>
          <w:rFonts w:asciiTheme="minorHAnsi" w:eastAsiaTheme="minorEastAsia" w:hAnsiTheme="minorHAnsi" w:cstheme="minorBidi"/>
          <w:noProof/>
          <w:kern w:val="2"/>
          <w:sz w:val="24"/>
          <w:szCs w:val="24"/>
          <w:lang w:eastAsia="it-IT"/>
          <w14:ligatures w14:val="standardContextual"/>
        </w:rPr>
      </w:pPr>
      <w:hyperlink w:anchor="_Toc220506586" w:history="1">
        <w:r w:rsidRPr="00F33F06">
          <w:rPr>
            <w:rStyle w:val="Collegamentoipertestuale"/>
            <w:rFonts w:eastAsia="Verdana"/>
            <w:noProof/>
            <w:lang w:bidi="it-IT"/>
          </w:rPr>
          <w:t>15</w:t>
        </w:r>
        <w:r w:rsidRPr="00F33F06">
          <w:rPr>
            <w:rStyle w:val="Collegamentoipertestuale"/>
            <w:rFonts w:eastAsia="Verdana"/>
            <w:smallCaps/>
            <w:noProof/>
            <w:lang w:bidi="it-IT"/>
          </w:rPr>
          <w:t>. Trasparenza e REG. UE 2016/679 – Rapporti tra RPTC E RPD</w:t>
        </w:r>
        <w:r>
          <w:rPr>
            <w:noProof/>
            <w:webHidden/>
          </w:rPr>
          <w:tab/>
        </w:r>
        <w:r>
          <w:rPr>
            <w:noProof/>
            <w:webHidden/>
          </w:rPr>
          <w:fldChar w:fldCharType="begin"/>
        </w:r>
        <w:r>
          <w:rPr>
            <w:noProof/>
            <w:webHidden/>
          </w:rPr>
          <w:instrText xml:space="preserve"> PAGEREF _Toc220506586 \h </w:instrText>
        </w:r>
        <w:r>
          <w:rPr>
            <w:noProof/>
            <w:webHidden/>
          </w:rPr>
        </w:r>
        <w:r>
          <w:rPr>
            <w:noProof/>
            <w:webHidden/>
          </w:rPr>
          <w:fldChar w:fldCharType="separate"/>
        </w:r>
        <w:r>
          <w:rPr>
            <w:noProof/>
            <w:webHidden/>
          </w:rPr>
          <w:t>50</w:t>
        </w:r>
        <w:r>
          <w:rPr>
            <w:noProof/>
            <w:webHidden/>
          </w:rPr>
          <w:fldChar w:fldCharType="end"/>
        </w:r>
      </w:hyperlink>
    </w:p>
    <w:p w14:paraId="694492B6" w14:textId="3C46213D" w:rsidR="00E613A8" w:rsidRDefault="00846CCF" w:rsidP="004A30AF">
      <w:pPr>
        <w:pStyle w:val="Corpotesto"/>
        <w:spacing w:line="360" w:lineRule="auto"/>
        <w:ind w:left="851"/>
        <w:rPr>
          <w:rFonts w:ascii="Arial Narrow" w:eastAsia="Calibri" w:hAnsi="Arial Narrow"/>
          <w:b/>
          <w:color w:val="002060"/>
          <w:sz w:val="24"/>
          <w:szCs w:val="24"/>
        </w:rPr>
      </w:pPr>
      <w:r w:rsidRPr="006D180B">
        <w:rPr>
          <w:rFonts w:ascii="Arial Narrow" w:eastAsia="Calibri" w:hAnsi="Arial Narrow"/>
          <w:b/>
          <w:color w:val="002060"/>
          <w:sz w:val="24"/>
          <w:szCs w:val="24"/>
        </w:rPr>
        <w:fldChar w:fldCharType="end"/>
      </w:r>
    </w:p>
    <w:p w14:paraId="225B698A" w14:textId="77777777" w:rsidR="00E613A8" w:rsidRDefault="00E613A8" w:rsidP="004A30AF">
      <w:pPr>
        <w:pStyle w:val="Corpotesto"/>
        <w:spacing w:line="360" w:lineRule="auto"/>
        <w:ind w:left="851"/>
        <w:rPr>
          <w:rFonts w:ascii="Arial Narrow" w:eastAsia="Calibri" w:hAnsi="Arial Narrow"/>
          <w:b/>
          <w:color w:val="002060"/>
          <w:sz w:val="24"/>
          <w:szCs w:val="24"/>
        </w:rPr>
      </w:pPr>
    </w:p>
    <w:p w14:paraId="3B1F7BE0" w14:textId="77777777" w:rsidR="00E613A8" w:rsidRDefault="00E613A8" w:rsidP="004A30AF">
      <w:pPr>
        <w:pStyle w:val="Corpotesto"/>
        <w:spacing w:line="360" w:lineRule="auto"/>
        <w:ind w:left="851"/>
        <w:rPr>
          <w:rFonts w:ascii="Arial Narrow" w:eastAsia="Calibri" w:hAnsi="Arial Narrow"/>
          <w:b/>
          <w:color w:val="002060"/>
          <w:sz w:val="24"/>
          <w:szCs w:val="24"/>
        </w:rPr>
      </w:pPr>
    </w:p>
    <w:p w14:paraId="7AF93700" w14:textId="27EC9BBD" w:rsidR="001F0066" w:rsidRDefault="00EE2012" w:rsidP="004A30AF">
      <w:pPr>
        <w:pStyle w:val="Corpotesto"/>
        <w:spacing w:line="360" w:lineRule="auto"/>
        <w:ind w:left="851"/>
      </w:pPr>
      <w:r>
        <w:lastRenderedPageBreak/>
        <w:t>LEGENDA DELLE ABBREVIAZIONI UTILIZZATE NEL CORPO DEL DOCUMENTO</w:t>
      </w:r>
    </w:p>
    <w:p w14:paraId="45BFF9DB" w14:textId="77777777" w:rsidR="001F0066" w:rsidRDefault="001F0066" w:rsidP="002034D7">
      <w:pPr>
        <w:pStyle w:val="Corpotesto"/>
        <w:spacing w:before="8"/>
        <w:rPr>
          <w:b/>
          <w:sz w:val="19"/>
        </w:rPr>
      </w:pPr>
    </w:p>
    <w:p w14:paraId="70E10DF6" w14:textId="77777777" w:rsidR="001F0066" w:rsidRDefault="00EE2012" w:rsidP="002034D7">
      <w:pPr>
        <w:tabs>
          <w:tab w:val="left" w:pos="3645"/>
        </w:tabs>
        <w:ind w:left="812"/>
        <w:rPr>
          <w:sz w:val="21"/>
        </w:rPr>
      </w:pPr>
      <w:r>
        <w:rPr>
          <w:b/>
          <w:sz w:val="21"/>
        </w:rPr>
        <w:t>EBS</w:t>
      </w:r>
      <w:r>
        <w:rPr>
          <w:b/>
          <w:sz w:val="21"/>
        </w:rPr>
        <w:tab/>
      </w:r>
      <w:r>
        <w:rPr>
          <w:sz w:val="21"/>
        </w:rPr>
        <w:t>Emanuele Brignole Servizi</w:t>
      </w:r>
      <w:r>
        <w:rPr>
          <w:spacing w:val="-3"/>
          <w:sz w:val="21"/>
        </w:rPr>
        <w:t xml:space="preserve"> </w:t>
      </w:r>
      <w:r>
        <w:rPr>
          <w:sz w:val="21"/>
        </w:rPr>
        <w:t>Srl</w:t>
      </w:r>
    </w:p>
    <w:p w14:paraId="04E19A8B" w14:textId="77777777" w:rsidR="001F0066" w:rsidRDefault="001F0066" w:rsidP="002034D7">
      <w:pPr>
        <w:pStyle w:val="Corpotesto"/>
        <w:spacing w:before="8"/>
        <w:rPr>
          <w:sz w:val="19"/>
        </w:rPr>
      </w:pPr>
    </w:p>
    <w:p w14:paraId="5DF289DB" w14:textId="77777777" w:rsidR="001F0066" w:rsidRDefault="00EE2012" w:rsidP="002034D7">
      <w:pPr>
        <w:pStyle w:val="Corpotesto"/>
        <w:tabs>
          <w:tab w:val="left" w:pos="3645"/>
        </w:tabs>
        <w:ind w:left="812"/>
      </w:pPr>
      <w:r>
        <w:rPr>
          <w:b/>
        </w:rPr>
        <w:t>ASP</w:t>
      </w:r>
      <w:r>
        <w:rPr>
          <w:b/>
        </w:rPr>
        <w:tab/>
      </w:r>
      <w:proofErr w:type="spellStart"/>
      <w:r>
        <w:t>ASP</w:t>
      </w:r>
      <w:proofErr w:type="spellEnd"/>
      <w:r>
        <w:t xml:space="preserve"> Brignole Azienda Pubblica di Servizi alla</w:t>
      </w:r>
      <w:r>
        <w:rPr>
          <w:spacing w:val="-13"/>
        </w:rPr>
        <w:t xml:space="preserve"> </w:t>
      </w:r>
      <w:r>
        <w:t>Persona</w:t>
      </w:r>
    </w:p>
    <w:p w14:paraId="3C9F7BB6" w14:textId="77777777" w:rsidR="001F0066" w:rsidRDefault="001F0066" w:rsidP="002034D7">
      <w:pPr>
        <w:pStyle w:val="Corpotesto"/>
        <w:spacing w:before="6"/>
        <w:rPr>
          <w:sz w:val="19"/>
        </w:rPr>
      </w:pPr>
    </w:p>
    <w:p w14:paraId="4D59D733" w14:textId="77777777" w:rsidR="001F0066" w:rsidRDefault="00EE2012" w:rsidP="002034D7">
      <w:pPr>
        <w:tabs>
          <w:tab w:val="left" w:pos="3645"/>
        </w:tabs>
        <w:ind w:left="812"/>
        <w:rPr>
          <w:sz w:val="21"/>
        </w:rPr>
      </w:pPr>
      <w:r>
        <w:rPr>
          <w:b/>
          <w:sz w:val="21"/>
        </w:rPr>
        <w:t>A.N.A.C.</w:t>
      </w:r>
      <w:r>
        <w:rPr>
          <w:b/>
          <w:sz w:val="21"/>
        </w:rPr>
        <w:tab/>
      </w:r>
      <w:r>
        <w:rPr>
          <w:sz w:val="21"/>
        </w:rPr>
        <w:t>Autorità Nazionale</w:t>
      </w:r>
      <w:r>
        <w:rPr>
          <w:spacing w:val="-2"/>
          <w:sz w:val="21"/>
        </w:rPr>
        <w:t xml:space="preserve"> </w:t>
      </w:r>
      <w:r>
        <w:rPr>
          <w:sz w:val="21"/>
        </w:rPr>
        <w:t>Anticorruzione</w:t>
      </w:r>
    </w:p>
    <w:p w14:paraId="0AA19074" w14:textId="77777777" w:rsidR="001F0066" w:rsidRDefault="001F0066" w:rsidP="002034D7">
      <w:pPr>
        <w:pStyle w:val="Corpotesto"/>
        <w:spacing w:before="8"/>
        <w:rPr>
          <w:sz w:val="19"/>
        </w:rPr>
      </w:pPr>
    </w:p>
    <w:p w14:paraId="732F6C35" w14:textId="77777777" w:rsidR="001F0066" w:rsidRDefault="00EE2012" w:rsidP="002034D7">
      <w:pPr>
        <w:pStyle w:val="Corpotesto"/>
        <w:tabs>
          <w:tab w:val="left" w:pos="3645"/>
        </w:tabs>
        <w:spacing w:before="1"/>
        <w:ind w:left="3645" w:right="815" w:hanging="2833"/>
      </w:pPr>
      <w:r>
        <w:rPr>
          <w:b/>
        </w:rPr>
        <w:t>A.V.C.P.</w:t>
      </w:r>
      <w:r>
        <w:rPr>
          <w:b/>
        </w:rPr>
        <w:tab/>
      </w:r>
      <w:r>
        <w:t>Autorità per la Vigilanza sui Contratti Pubblici di Lavori, Servizi e</w:t>
      </w:r>
      <w:r>
        <w:rPr>
          <w:spacing w:val="-2"/>
        </w:rPr>
        <w:t xml:space="preserve"> </w:t>
      </w:r>
      <w:r>
        <w:t>Forniture</w:t>
      </w:r>
    </w:p>
    <w:p w14:paraId="7D5724B0" w14:textId="77777777" w:rsidR="001F0066" w:rsidRDefault="00EE2012" w:rsidP="002034D7">
      <w:pPr>
        <w:pStyle w:val="Corpotesto"/>
        <w:tabs>
          <w:tab w:val="left" w:pos="3645"/>
        </w:tabs>
        <w:spacing w:before="200"/>
        <w:ind w:left="3645" w:right="815" w:hanging="2833"/>
      </w:pPr>
      <w:r>
        <w:rPr>
          <w:b/>
        </w:rPr>
        <w:t>C.I.V.I.T.</w:t>
      </w:r>
      <w:r>
        <w:rPr>
          <w:b/>
        </w:rPr>
        <w:tab/>
      </w:r>
      <w:r>
        <w:t>Commissione Indipendente per la Valutazione, la Trasparenza e l’Integrità delle Amministrazioni</w:t>
      </w:r>
      <w:r>
        <w:rPr>
          <w:spacing w:val="-7"/>
        </w:rPr>
        <w:t xml:space="preserve"> </w:t>
      </w:r>
      <w:r>
        <w:t>Pubbliche</w:t>
      </w:r>
    </w:p>
    <w:p w14:paraId="13276276" w14:textId="77777777" w:rsidR="001F0066" w:rsidRDefault="00EE2012" w:rsidP="002034D7">
      <w:pPr>
        <w:spacing w:before="201"/>
        <w:ind w:left="3645" w:right="809" w:hanging="2833"/>
        <w:jc w:val="both"/>
        <w:rPr>
          <w:sz w:val="21"/>
        </w:rPr>
      </w:pPr>
      <w:proofErr w:type="spellStart"/>
      <w:r>
        <w:rPr>
          <w:b/>
          <w:sz w:val="21"/>
        </w:rPr>
        <w:t>D.Lgs.</w:t>
      </w:r>
      <w:proofErr w:type="spellEnd"/>
      <w:r>
        <w:rPr>
          <w:b/>
          <w:sz w:val="21"/>
        </w:rPr>
        <w:t xml:space="preserve"> 231/2001 </w:t>
      </w:r>
      <w:r w:rsidR="005B211F">
        <w:rPr>
          <w:b/>
          <w:sz w:val="21"/>
        </w:rPr>
        <w:tab/>
      </w:r>
      <w:r>
        <w:rPr>
          <w:sz w:val="21"/>
        </w:rPr>
        <w:t>Decreto Legislativo n. 231 dell’8 giugno 2001 “</w:t>
      </w:r>
      <w:r>
        <w:rPr>
          <w:i/>
          <w:sz w:val="21"/>
        </w:rPr>
        <w:t>Disciplina della responsabilità amministrativa delle persone giuridiche, delle società e delle associazioni anche prive di personalità giuridica</w:t>
      </w:r>
      <w:r>
        <w:rPr>
          <w:sz w:val="21"/>
        </w:rPr>
        <w:t>” e successive modifiche e integrazioni.</w:t>
      </w:r>
    </w:p>
    <w:p w14:paraId="68F8F958" w14:textId="77777777" w:rsidR="001F0066" w:rsidRDefault="00EE2012" w:rsidP="002034D7">
      <w:pPr>
        <w:pStyle w:val="Corpotesto"/>
        <w:tabs>
          <w:tab w:val="left" w:pos="3645"/>
        </w:tabs>
        <w:spacing w:before="198"/>
        <w:ind w:left="812"/>
      </w:pPr>
      <w:r>
        <w:rPr>
          <w:b/>
        </w:rPr>
        <w:t>D.F.P.</w:t>
      </w:r>
      <w:r>
        <w:rPr>
          <w:b/>
        </w:rPr>
        <w:tab/>
      </w:r>
      <w:r>
        <w:t>Dipartimento della Funzione</w:t>
      </w:r>
      <w:r>
        <w:rPr>
          <w:spacing w:val="-5"/>
        </w:rPr>
        <w:t xml:space="preserve"> </w:t>
      </w:r>
      <w:r>
        <w:t>Pubblica</w:t>
      </w:r>
    </w:p>
    <w:p w14:paraId="328292D1" w14:textId="77777777" w:rsidR="001F0066" w:rsidRDefault="001F0066" w:rsidP="002034D7">
      <w:pPr>
        <w:pStyle w:val="Corpotesto"/>
        <w:spacing w:before="8"/>
        <w:rPr>
          <w:sz w:val="19"/>
        </w:rPr>
      </w:pPr>
    </w:p>
    <w:p w14:paraId="56471A57" w14:textId="77777777" w:rsidR="001F0066" w:rsidRDefault="00EE2012" w:rsidP="002034D7">
      <w:pPr>
        <w:spacing w:before="1"/>
        <w:ind w:left="3645" w:right="810" w:hanging="2833"/>
        <w:jc w:val="both"/>
        <w:rPr>
          <w:sz w:val="21"/>
        </w:rPr>
      </w:pPr>
      <w:r>
        <w:rPr>
          <w:b/>
          <w:sz w:val="21"/>
        </w:rPr>
        <w:t xml:space="preserve">LEGGE 190/2012 </w:t>
      </w:r>
      <w:r w:rsidR="005B211F">
        <w:rPr>
          <w:b/>
          <w:sz w:val="21"/>
        </w:rPr>
        <w:t xml:space="preserve">o </w:t>
      </w:r>
      <w:r>
        <w:rPr>
          <w:b/>
          <w:sz w:val="21"/>
        </w:rPr>
        <w:t xml:space="preserve">Legge Anticorruzione </w:t>
      </w:r>
      <w:r>
        <w:rPr>
          <w:sz w:val="21"/>
        </w:rPr>
        <w:t>Legge 6 novembre 2012, n. 190 recante "</w:t>
      </w:r>
      <w:r>
        <w:rPr>
          <w:i/>
          <w:sz w:val="21"/>
        </w:rPr>
        <w:t>Disposizioni per la prevenzione e la repressione della corruzione e dell'illegalità nella pubblica amministrazione</w:t>
      </w:r>
      <w:r>
        <w:rPr>
          <w:sz w:val="21"/>
        </w:rPr>
        <w:t>”</w:t>
      </w:r>
    </w:p>
    <w:p w14:paraId="00CA6136" w14:textId="77777777" w:rsidR="001F0066" w:rsidRDefault="00EE2012" w:rsidP="002034D7">
      <w:pPr>
        <w:pStyle w:val="Corpotesto"/>
        <w:tabs>
          <w:tab w:val="left" w:pos="3645"/>
        </w:tabs>
        <w:spacing w:before="199"/>
        <w:ind w:left="3645" w:right="815" w:hanging="2833"/>
      </w:pPr>
      <w:r>
        <w:rPr>
          <w:b/>
        </w:rPr>
        <w:t>Modello</w:t>
      </w:r>
      <w:r>
        <w:rPr>
          <w:b/>
        </w:rPr>
        <w:tab/>
      </w:r>
      <w:proofErr w:type="spellStart"/>
      <w:r>
        <w:t>Modello</w:t>
      </w:r>
      <w:proofErr w:type="spellEnd"/>
      <w:r>
        <w:t xml:space="preserve"> di organizzazione, gestione e controllo previsto dal </w:t>
      </w:r>
      <w:proofErr w:type="gramStart"/>
      <w:r>
        <w:t>D.Lgs</w:t>
      </w:r>
      <w:proofErr w:type="gramEnd"/>
      <w:r>
        <w:t>.231/2001 e adottato da ASP</w:t>
      </w:r>
      <w:r>
        <w:rPr>
          <w:spacing w:val="-9"/>
        </w:rPr>
        <w:t xml:space="preserve"> </w:t>
      </w:r>
      <w:r>
        <w:t>BRIGNOLE</w:t>
      </w:r>
      <w:r w:rsidR="005B211F">
        <w:t xml:space="preserve"> e EBS</w:t>
      </w:r>
    </w:p>
    <w:p w14:paraId="6F0013C7" w14:textId="77777777" w:rsidR="001F0066" w:rsidRDefault="00EE2012" w:rsidP="002034D7">
      <w:pPr>
        <w:pStyle w:val="Corpotesto"/>
        <w:tabs>
          <w:tab w:val="left" w:pos="3645"/>
        </w:tabs>
        <w:spacing w:before="201"/>
        <w:ind w:left="812"/>
      </w:pPr>
      <w:r>
        <w:rPr>
          <w:b/>
        </w:rPr>
        <w:t>P.N.A.</w:t>
      </w:r>
      <w:r>
        <w:rPr>
          <w:b/>
        </w:rPr>
        <w:tab/>
      </w:r>
      <w:r>
        <w:t>Piano Nazionale</w:t>
      </w:r>
      <w:r>
        <w:rPr>
          <w:spacing w:val="-7"/>
        </w:rPr>
        <w:t xml:space="preserve"> </w:t>
      </w:r>
      <w:r>
        <w:t>Anticorruzione</w:t>
      </w:r>
    </w:p>
    <w:p w14:paraId="7103BE37" w14:textId="77777777" w:rsidR="001F0066" w:rsidRDefault="001F0066" w:rsidP="002034D7">
      <w:pPr>
        <w:pStyle w:val="Corpotesto"/>
        <w:spacing w:before="8"/>
        <w:rPr>
          <w:sz w:val="19"/>
        </w:rPr>
      </w:pPr>
    </w:p>
    <w:p w14:paraId="37A53233" w14:textId="77777777" w:rsidR="001F0066" w:rsidRDefault="00EE2012" w:rsidP="002034D7">
      <w:pPr>
        <w:pStyle w:val="Corpotesto"/>
        <w:tabs>
          <w:tab w:val="left" w:pos="3645"/>
        </w:tabs>
        <w:ind w:left="812"/>
      </w:pPr>
      <w:r>
        <w:rPr>
          <w:b/>
        </w:rPr>
        <w:t>P.T.P.C.</w:t>
      </w:r>
      <w:r>
        <w:rPr>
          <w:b/>
        </w:rPr>
        <w:tab/>
      </w:r>
      <w:r>
        <w:t>Piano Triennale di Prevenzione della</w:t>
      </w:r>
      <w:r>
        <w:rPr>
          <w:spacing w:val="-10"/>
        </w:rPr>
        <w:t xml:space="preserve"> </w:t>
      </w:r>
      <w:r>
        <w:t>Corruzione</w:t>
      </w:r>
    </w:p>
    <w:p w14:paraId="5783AFDC" w14:textId="77777777" w:rsidR="001F0066" w:rsidRDefault="001F0066" w:rsidP="002034D7">
      <w:pPr>
        <w:pStyle w:val="Corpotesto"/>
        <w:spacing w:before="6"/>
        <w:rPr>
          <w:sz w:val="19"/>
        </w:rPr>
      </w:pPr>
    </w:p>
    <w:p w14:paraId="71FE62E3" w14:textId="77777777" w:rsidR="001F0066" w:rsidRDefault="00EE2012" w:rsidP="002034D7">
      <w:pPr>
        <w:pStyle w:val="Corpotesto"/>
        <w:tabs>
          <w:tab w:val="left" w:pos="3645"/>
        </w:tabs>
        <w:ind w:left="812"/>
      </w:pPr>
      <w:r>
        <w:rPr>
          <w:b/>
        </w:rPr>
        <w:t>P.T.T.I.</w:t>
      </w:r>
      <w:r>
        <w:rPr>
          <w:b/>
        </w:rPr>
        <w:tab/>
      </w:r>
      <w:r>
        <w:t>Programma Triennale per la Trasparenza e</w:t>
      </w:r>
      <w:r>
        <w:rPr>
          <w:spacing w:val="-9"/>
        </w:rPr>
        <w:t xml:space="preserve"> </w:t>
      </w:r>
      <w:r>
        <w:t>Integrità</w:t>
      </w:r>
    </w:p>
    <w:p w14:paraId="472481BF" w14:textId="77777777" w:rsidR="0000704F" w:rsidRDefault="0000704F" w:rsidP="002034D7">
      <w:pPr>
        <w:pStyle w:val="Corpotesto"/>
        <w:tabs>
          <w:tab w:val="left" w:pos="3645"/>
        </w:tabs>
        <w:spacing w:line="360" w:lineRule="auto"/>
        <w:ind w:left="812"/>
      </w:pPr>
    </w:p>
    <w:p w14:paraId="5E9249C9" w14:textId="77777777" w:rsidR="0000704F" w:rsidRDefault="0000704F" w:rsidP="002034D7">
      <w:pPr>
        <w:pStyle w:val="Corpotesto"/>
        <w:tabs>
          <w:tab w:val="left" w:pos="3645"/>
        </w:tabs>
        <w:spacing w:line="360" w:lineRule="auto"/>
        <w:ind w:left="812"/>
      </w:pPr>
    </w:p>
    <w:p w14:paraId="2D259636" w14:textId="77777777" w:rsidR="0000704F" w:rsidRDefault="0000704F" w:rsidP="002034D7">
      <w:pPr>
        <w:pStyle w:val="Corpotesto"/>
        <w:tabs>
          <w:tab w:val="left" w:pos="3645"/>
        </w:tabs>
        <w:spacing w:line="360" w:lineRule="auto"/>
        <w:ind w:left="812"/>
      </w:pPr>
    </w:p>
    <w:p w14:paraId="16006891" w14:textId="77777777" w:rsidR="0000704F" w:rsidRDefault="0000704F" w:rsidP="002034D7">
      <w:pPr>
        <w:pStyle w:val="Corpotesto"/>
        <w:tabs>
          <w:tab w:val="left" w:pos="3645"/>
        </w:tabs>
        <w:spacing w:line="360" w:lineRule="auto"/>
        <w:ind w:left="812"/>
      </w:pPr>
    </w:p>
    <w:p w14:paraId="28B83913" w14:textId="77777777" w:rsidR="0000704F" w:rsidRDefault="0000704F" w:rsidP="002034D7">
      <w:pPr>
        <w:pStyle w:val="Corpotesto"/>
        <w:tabs>
          <w:tab w:val="left" w:pos="3645"/>
        </w:tabs>
        <w:spacing w:line="360" w:lineRule="auto"/>
        <w:ind w:left="812"/>
      </w:pPr>
    </w:p>
    <w:p w14:paraId="3E7262CC" w14:textId="77777777" w:rsidR="0000704F" w:rsidRDefault="0000704F" w:rsidP="002034D7">
      <w:pPr>
        <w:pStyle w:val="Corpotesto"/>
        <w:tabs>
          <w:tab w:val="left" w:pos="3645"/>
        </w:tabs>
        <w:spacing w:line="360" w:lineRule="auto"/>
        <w:ind w:left="812"/>
      </w:pPr>
    </w:p>
    <w:p w14:paraId="4544FE3B" w14:textId="77777777" w:rsidR="0000704F" w:rsidRDefault="0000704F" w:rsidP="002034D7">
      <w:pPr>
        <w:pStyle w:val="Corpotesto"/>
        <w:tabs>
          <w:tab w:val="left" w:pos="3645"/>
        </w:tabs>
        <w:spacing w:line="360" w:lineRule="auto"/>
        <w:ind w:left="812"/>
      </w:pPr>
    </w:p>
    <w:p w14:paraId="02D9FA46" w14:textId="77777777" w:rsidR="0000704F" w:rsidRDefault="0000704F" w:rsidP="002034D7">
      <w:pPr>
        <w:pStyle w:val="Corpotesto"/>
        <w:tabs>
          <w:tab w:val="left" w:pos="3645"/>
        </w:tabs>
        <w:spacing w:line="360" w:lineRule="auto"/>
        <w:ind w:left="812"/>
      </w:pPr>
    </w:p>
    <w:p w14:paraId="7F6304ED" w14:textId="77777777" w:rsidR="0000704F" w:rsidRDefault="0000704F" w:rsidP="002034D7">
      <w:pPr>
        <w:pStyle w:val="Corpotesto"/>
        <w:tabs>
          <w:tab w:val="left" w:pos="3645"/>
        </w:tabs>
        <w:spacing w:line="360" w:lineRule="auto"/>
        <w:ind w:left="812"/>
      </w:pPr>
    </w:p>
    <w:p w14:paraId="14C0EC77" w14:textId="77777777" w:rsidR="0000704F" w:rsidRDefault="0000704F" w:rsidP="002034D7">
      <w:pPr>
        <w:pStyle w:val="Corpotesto"/>
        <w:tabs>
          <w:tab w:val="left" w:pos="3645"/>
        </w:tabs>
        <w:spacing w:line="360" w:lineRule="auto"/>
        <w:ind w:left="812"/>
      </w:pPr>
    </w:p>
    <w:p w14:paraId="483C5F15" w14:textId="09824A26" w:rsidR="0000704F" w:rsidRDefault="0000704F" w:rsidP="002034D7">
      <w:pPr>
        <w:pStyle w:val="Corpotesto"/>
        <w:tabs>
          <w:tab w:val="left" w:pos="3645"/>
        </w:tabs>
        <w:spacing w:line="360" w:lineRule="auto"/>
        <w:ind w:left="812"/>
      </w:pPr>
    </w:p>
    <w:p w14:paraId="66634D93" w14:textId="0AA3DBF8" w:rsidR="00D44F9E" w:rsidRDefault="00D44F9E" w:rsidP="002034D7">
      <w:pPr>
        <w:pStyle w:val="Corpotesto"/>
        <w:tabs>
          <w:tab w:val="left" w:pos="3645"/>
        </w:tabs>
        <w:spacing w:line="360" w:lineRule="auto"/>
        <w:ind w:left="812"/>
      </w:pPr>
    </w:p>
    <w:p w14:paraId="4B3A6B38" w14:textId="1B30310B" w:rsidR="00D44F9E" w:rsidRDefault="00D44F9E" w:rsidP="002034D7">
      <w:pPr>
        <w:pStyle w:val="Corpotesto"/>
        <w:tabs>
          <w:tab w:val="left" w:pos="3645"/>
        </w:tabs>
        <w:spacing w:line="360" w:lineRule="auto"/>
        <w:ind w:left="812"/>
      </w:pPr>
    </w:p>
    <w:p w14:paraId="3B983644" w14:textId="77777777" w:rsidR="00E613A8" w:rsidRDefault="00E613A8" w:rsidP="002034D7">
      <w:pPr>
        <w:pStyle w:val="Corpotesto"/>
        <w:tabs>
          <w:tab w:val="left" w:pos="3645"/>
        </w:tabs>
        <w:spacing w:line="360" w:lineRule="auto"/>
        <w:ind w:left="812"/>
      </w:pPr>
    </w:p>
    <w:p w14:paraId="22D6237A" w14:textId="0C1BC6CE" w:rsidR="00D44F9E" w:rsidRDefault="00D44F9E" w:rsidP="002034D7">
      <w:pPr>
        <w:pStyle w:val="Corpotesto"/>
        <w:tabs>
          <w:tab w:val="left" w:pos="3645"/>
        </w:tabs>
        <w:spacing w:line="360" w:lineRule="auto"/>
        <w:ind w:left="812"/>
      </w:pPr>
    </w:p>
    <w:p w14:paraId="5D5B5281" w14:textId="33018AD4" w:rsidR="0047595E" w:rsidRPr="0047595E" w:rsidRDefault="00671649" w:rsidP="0047595E">
      <w:pPr>
        <w:pStyle w:val="Titolo1"/>
        <w:spacing w:line="360" w:lineRule="auto"/>
        <w:ind w:right="780"/>
        <w:jc w:val="both"/>
      </w:pPr>
      <w:bookmarkStart w:id="0" w:name="_Toc220506546"/>
      <w:r>
        <w:lastRenderedPageBreak/>
        <w:t>1</w:t>
      </w:r>
      <w:r w:rsidR="0047595E">
        <w:t>.</w:t>
      </w:r>
      <w:r>
        <w:t xml:space="preserve"> </w:t>
      </w:r>
      <w:r w:rsidR="00EE2012" w:rsidRPr="00671649">
        <w:rPr>
          <w:smallCaps/>
        </w:rPr>
        <w:t>Premessa</w:t>
      </w:r>
      <w:r w:rsidR="00D158AC">
        <w:rPr>
          <w:smallCaps/>
        </w:rPr>
        <w:t>.</w:t>
      </w:r>
      <w:r w:rsidR="00EE2012" w:rsidRPr="00671649">
        <w:rPr>
          <w:smallCaps/>
        </w:rPr>
        <w:t xml:space="preserve"> </w:t>
      </w:r>
      <w:r w:rsidR="0047595E" w:rsidRPr="0047595E">
        <w:rPr>
          <w:smallCaps/>
        </w:rPr>
        <w:t>Normativa di Riferimento</w:t>
      </w:r>
      <w:bookmarkEnd w:id="0"/>
    </w:p>
    <w:p w14:paraId="13790033" w14:textId="77777777" w:rsidR="0047595E" w:rsidRPr="0047595E" w:rsidRDefault="0047595E" w:rsidP="0047595E">
      <w:pPr>
        <w:spacing w:before="195" w:line="360" w:lineRule="auto"/>
        <w:ind w:left="812" w:right="809" w:firstLine="628"/>
        <w:jc w:val="both"/>
        <w:rPr>
          <w:sz w:val="21"/>
          <w:szCs w:val="21"/>
        </w:rPr>
      </w:pPr>
      <w:r w:rsidRPr="0047595E">
        <w:rPr>
          <w:sz w:val="21"/>
          <w:szCs w:val="21"/>
        </w:rPr>
        <w:t>La legge 6 novembre 2012, n. 190 "</w:t>
      </w:r>
      <w:r w:rsidRPr="0047595E">
        <w:rPr>
          <w:i/>
          <w:iCs/>
          <w:sz w:val="21"/>
          <w:szCs w:val="21"/>
        </w:rPr>
        <w:t>Disposizioni per la prevenzione e la repressione della corruzione e dell'illegalità nella pubblica amministrazione</w:t>
      </w:r>
      <w:r w:rsidRPr="0047595E">
        <w:rPr>
          <w:sz w:val="21"/>
          <w:szCs w:val="21"/>
        </w:rPr>
        <w:t xml:space="preserve">" - pubblicata in G.U. n. 265 del 13/11/2012 -, entrata in vigore il 28/11/2012, è finalizzata ad avversare i fenomeni corruttivi e l'illegalità nella pubblica amministrazione. L'intervento legislativo si muove nella direzione di rafforzare l'efficacia e l'effettività delle misure di contrasto al fenomeno corruttivo puntando ad uniformare l'ordinamento giuridico italiano agli strumenti sovranazionali di contrasto alla corruzione già ratificati dal nostro Paese, in particolare, la Convenzione dell'Organizzazione delle Nazioni Unite contro la corruzione, adottata dall'Assemblea generale dell'O.N.U. il 31 ottobre 2003 con risoluzione n. 58/4, firmata dallo Stato italiano il 9 dicembre 2003, e ratificata con legge 3 agosto 2009, n. 116. In base alla legge, le strategie di prevenzione e contrasto della corruzione, a livello nazionale, derivano dall'azione sinergica dei seguenti soggetti: </w:t>
      </w:r>
    </w:p>
    <w:p w14:paraId="24095622" w14:textId="77777777" w:rsidR="0047595E" w:rsidRPr="0047595E" w:rsidRDefault="0047595E" w:rsidP="0047595E">
      <w:pPr>
        <w:spacing w:before="195" w:line="360" w:lineRule="auto"/>
        <w:ind w:left="812" w:right="809"/>
        <w:jc w:val="both"/>
        <w:rPr>
          <w:sz w:val="21"/>
          <w:szCs w:val="21"/>
        </w:rPr>
      </w:pPr>
      <w:r w:rsidRPr="0047595E">
        <w:rPr>
          <w:sz w:val="21"/>
          <w:szCs w:val="21"/>
        </w:rPr>
        <w:t xml:space="preserve">a) il Comitato interministeriale per la prevenzione e il contrasto della corruzione e dell'illegalità nella pubblica amministrazione, costituito con </w:t>
      </w:r>
      <w:proofErr w:type="spellStart"/>
      <w:r w:rsidRPr="0047595E">
        <w:rPr>
          <w:sz w:val="21"/>
          <w:szCs w:val="21"/>
        </w:rPr>
        <w:t>d.P.C.m.</w:t>
      </w:r>
      <w:proofErr w:type="spellEnd"/>
      <w:r w:rsidRPr="0047595E">
        <w:rPr>
          <w:sz w:val="21"/>
          <w:szCs w:val="21"/>
        </w:rPr>
        <w:t xml:space="preserve"> 16 gennaio 2013, che ha il compito di fornire indirizzi attraverso l'elaborazione delle linee guida; </w:t>
      </w:r>
    </w:p>
    <w:p w14:paraId="153A1345" w14:textId="77777777" w:rsidR="0047595E" w:rsidRPr="0047595E" w:rsidRDefault="0047595E" w:rsidP="0047595E">
      <w:pPr>
        <w:spacing w:before="195" w:line="360" w:lineRule="auto"/>
        <w:ind w:left="812" w:right="809"/>
        <w:jc w:val="both"/>
        <w:rPr>
          <w:sz w:val="21"/>
          <w:szCs w:val="21"/>
        </w:rPr>
      </w:pPr>
      <w:r w:rsidRPr="0047595E">
        <w:rPr>
          <w:sz w:val="21"/>
          <w:szCs w:val="21"/>
        </w:rPr>
        <w:t xml:space="preserve">b) il Dipartimento della funzione pubblica, che opera come soggetto promotore delle strategie di prevenzione e come coordinatore della loro attuazione; </w:t>
      </w:r>
    </w:p>
    <w:p w14:paraId="70020B64" w14:textId="77777777" w:rsidR="0047595E" w:rsidRPr="0047595E" w:rsidRDefault="0047595E" w:rsidP="0047595E">
      <w:pPr>
        <w:spacing w:before="195" w:line="360" w:lineRule="auto"/>
        <w:ind w:left="812" w:right="809"/>
        <w:jc w:val="both"/>
        <w:rPr>
          <w:sz w:val="21"/>
          <w:szCs w:val="21"/>
        </w:rPr>
      </w:pPr>
      <w:r w:rsidRPr="0047595E">
        <w:rPr>
          <w:sz w:val="21"/>
          <w:szCs w:val="21"/>
        </w:rPr>
        <w:t xml:space="preserve">c) l’A.N.A.C., che, in qualità di Autorità nazionale anticorruzione svolge funzioni di raccordo con le altre autorità ed esercita poteri di vigilanza e controllo per la verifica dell'efficacia delle misure di prevenzione adottate dalle amministrazioni nonché sul rispetto della normativa in materia di trasparenza. </w:t>
      </w:r>
    </w:p>
    <w:p w14:paraId="197BE68E" w14:textId="77777777" w:rsidR="0047595E" w:rsidRPr="0047595E" w:rsidRDefault="0047595E" w:rsidP="0047595E">
      <w:pPr>
        <w:spacing w:before="195" w:line="360" w:lineRule="auto"/>
        <w:ind w:left="812" w:right="809" w:firstLine="628"/>
        <w:jc w:val="both"/>
        <w:rPr>
          <w:sz w:val="21"/>
          <w:szCs w:val="21"/>
        </w:rPr>
      </w:pPr>
      <w:r w:rsidRPr="0047595E">
        <w:rPr>
          <w:sz w:val="21"/>
          <w:szCs w:val="21"/>
        </w:rPr>
        <w:t xml:space="preserve">A livello nazionale il sistema di prevenzione e contrasto della corruzione nella pubblica amministrazione si articola nelle strategie individuate nel Piano Nazionale Anticorruzione, predisposto dal Dipartimento della funzione pubblica secondo linee di indirizzo adottate dal Comitato interministeriale. </w:t>
      </w:r>
    </w:p>
    <w:p w14:paraId="4148865D" w14:textId="77777777" w:rsidR="0047595E" w:rsidRPr="0047595E" w:rsidRDefault="0047595E" w:rsidP="0047595E">
      <w:pPr>
        <w:spacing w:before="195" w:line="360" w:lineRule="auto"/>
        <w:ind w:left="812" w:right="809" w:firstLine="628"/>
        <w:jc w:val="both"/>
        <w:rPr>
          <w:sz w:val="21"/>
          <w:szCs w:val="21"/>
        </w:rPr>
      </w:pPr>
      <w:r w:rsidRPr="0047595E">
        <w:rPr>
          <w:sz w:val="21"/>
          <w:szCs w:val="21"/>
        </w:rPr>
        <w:t xml:space="preserve">A livello di ciascuna amministrazione, invece, la legge n. 190 del 2012 prevede l'adozione del Piano di prevenzione Triennale, formulato dal Responsabile della prevenzione della corruzione, nominato ai sensi dell'art. 1, comma 7, della stessa Legge ed approvato dall'organo di indirizzo politico. </w:t>
      </w:r>
    </w:p>
    <w:p w14:paraId="16578125" w14:textId="77777777" w:rsidR="0047595E" w:rsidRPr="0047595E" w:rsidRDefault="0047595E" w:rsidP="0047595E">
      <w:pPr>
        <w:spacing w:before="195" w:line="360" w:lineRule="auto"/>
        <w:ind w:left="812" w:right="809" w:firstLine="628"/>
        <w:jc w:val="both"/>
        <w:rPr>
          <w:sz w:val="21"/>
          <w:szCs w:val="21"/>
        </w:rPr>
      </w:pPr>
      <w:r w:rsidRPr="0047595E">
        <w:rPr>
          <w:sz w:val="21"/>
          <w:szCs w:val="21"/>
        </w:rPr>
        <w:t xml:space="preserve">La L.190/2012 e le delibere Anac, tra cui da ultimo le Delibera ANAC dell’8 novembre 2017 n. 1134 e il Piano Nazionale Anticorruzione 2019, costituiscono pertanto l’imprescindibile punto di partenza per la elaborazione del presente Piano, che trova il </w:t>
      </w:r>
      <w:r w:rsidRPr="0047595E">
        <w:rPr>
          <w:sz w:val="21"/>
          <w:szCs w:val="21"/>
        </w:rPr>
        <w:lastRenderedPageBreak/>
        <w:t>proprio fondamento normativo nel disposto dell’art. 1, comma 2 bis, della L. 6 novembre 2012 n. 190.</w:t>
      </w:r>
    </w:p>
    <w:p w14:paraId="36021660" w14:textId="77777777" w:rsidR="0047595E" w:rsidRPr="0047595E" w:rsidRDefault="0047595E" w:rsidP="0047595E">
      <w:pPr>
        <w:spacing w:before="195" w:line="360" w:lineRule="auto"/>
        <w:ind w:left="812" w:right="809"/>
        <w:jc w:val="both"/>
        <w:rPr>
          <w:sz w:val="21"/>
          <w:szCs w:val="21"/>
        </w:rPr>
      </w:pPr>
      <w:r w:rsidRPr="0047595E">
        <w:rPr>
          <w:sz w:val="21"/>
          <w:szCs w:val="21"/>
        </w:rPr>
        <w:t>In particolare, la Società è tenuta ad adottare misure di prevenzione della corruzione integrative rispetto a quelle adottate sulla base del D. Lgs. 231/2001, estendendone pertanto l’ambito di applicazione non solo ai reati contro la pubblica amministrazione previsti dal citato Decreto, ma anche a tutti quelli considerati nella L.190/2012 e normativa collegata in materia. Ciò, come evidenziato dalla Delibera n. 1134 ANAC del 20 novembre 2017, in attuazione di una logica di coordinamento delle misure e di semplificazione degli adempimenti. E ciò anche quando i Reati sono commessi in danno della Società, differenziandosi così dai presupposti del D. Lgs. 231/01 (che ha riguardo solo ai Reati commessi nell’interesse o a vantaggio della stessa).</w:t>
      </w:r>
    </w:p>
    <w:p w14:paraId="0921219E" w14:textId="77777777" w:rsidR="0047595E" w:rsidRPr="0047595E" w:rsidRDefault="0047595E" w:rsidP="0047595E">
      <w:pPr>
        <w:spacing w:before="195" w:line="360" w:lineRule="auto"/>
        <w:ind w:left="812" w:right="809"/>
        <w:jc w:val="both"/>
        <w:rPr>
          <w:sz w:val="21"/>
          <w:szCs w:val="21"/>
        </w:rPr>
      </w:pPr>
      <w:r w:rsidRPr="0047595E">
        <w:rPr>
          <w:sz w:val="21"/>
          <w:szCs w:val="21"/>
        </w:rPr>
        <w:t>Poiché la delibera sopra citata prevede al punto 3.1.1 la necessità che tali Misure siano ricondotte in un documento “unitario”, dette misure vengono opportunamente “perimetrate” dentro al presente Piano (e non all’interno del Modello) al fine di renderle chiaramente identificabili.</w:t>
      </w:r>
    </w:p>
    <w:p w14:paraId="21AA6540" w14:textId="1B02D950" w:rsidR="0047595E" w:rsidRPr="0047595E" w:rsidRDefault="008B001F" w:rsidP="0047595E">
      <w:pPr>
        <w:spacing w:before="195" w:line="360" w:lineRule="auto"/>
        <w:ind w:left="812" w:right="809"/>
        <w:jc w:val="both"/>
        <w:rPr>
          <w:sz w:val="21"/>
          <w:szCs w:val="21"/>
        </w:rPr>
      </w:pPr>
      <w:r>
        <w:rPr>
          <w:sz w:val="21"/>
          <w:szCs w:val="21"/>
        </w:rPr>
        <w:t>I</w:t>
      </w:r>
      <w:r w:rsidR="0047595E" w:rsidRPr="0047595E">
        <w:rPr>
          <w:sz w:val="21"/>
          <w:szCs w:val="21"/>
        </w:rPr>
        <w:t xml:space="preserve">n via preliminare </w:t>
      </w:r>
      <w:r w:rsidR="0047595E">
        <w:rPr>
          <w:sz w:val="21"/>
          <w:szCs w:val="21"/>
        </w:rPr>
        <w:t>pare opportuno ribadire come</w:t>
      </w:r>
      <w:r w:rsidR="0047595E" w:rsidRPr="0047595E">
        <w:rPr>
          <w:sz w:val="21"/>
          <w:szCs w:val="21"/>
        </w:rPr>
        <w:t>, sia livello internazionale che nazionale, “</w:t>
      </w:r>
      <w:r w:rsidR="0047595E" w:rsidRPr="0047595E">
        <w:rPr>
          <w:i/>
          <w:iCs/>
          <w:sz w:val="21"/>
          <w:szCs w:val="21"/>
        </w:rPr>
        <w:t>la corruzione consiste in comportamenti soggettivi impropri di un pubblico funzionario che, al fine di curare un interesse proprio o un interesse particolare di terzi, assuma (o concorra all’adozione di) una decisione pubblica, deviando, in cambio di un vantaggio (economico o meno), dai propri doveri d’ufficio, cioè dalla cura imparziale dell’interesse pubblico affidatogli</w:t>
      </w:r>
      <w:r w:rsidR="0047595E" w:rsidRPr="0047595E">
        <w:rPr>
          <w:sz w:val="21"/>
          <w:szCs w:val="21"/>
        </w:rPr>
        <w:t>”.</w:t>
      </w:r>
    </w:p>
    <w:p w14:paraId="20FB0A7D" w14:textId="3A7AEBF6" w:rsidR="0047595E" w:rsidRPr="0047595E" w:rsidRDefault="0047595E" w:rsidP="0047595E">
      <w:pPr>
        <w:spacing w:before="195" w:line="360" w:lineRule="auto"/>
        <w:ind w:left="812" w:right="809"/>
        <w:jc w:val="both"/>
        <w:rPr>
          <w:sz w:val="21"/>
          <w:szCs w:val="21"/>
        </w:rPr>
      </w:pPr>
      <w:r>
        <w:rPr>
          <w:sz w:val="21"/>
          <w:szCs w:val="21"/>
        </w:rPr>
        <w:t>S</w:t>
      </w:r>
      <w:r w:rsidRPr="0047595E">
        <w:rPr>
          <w:sz w:val="21"/>
          <w:szCs w:val="21"/>
        </w:rPr>
        <w:t>econdo gli indirizzi ANAC</w:t>
      </w:r>
      <w:r>
        <w:rPr>
          <w:sz w:val="21"/>
          <w:szCs w:val="21"/>
        </w:rPr>
        <w:t xml:space="preserve"> il termine corruzione</w:t>
      </w:r>
      <w:r w:rsidRPr="0047595E">
        <w:rPr>
          <w:sz w:val="21"/>
          <w:szCs w:val="21"/>
        </w:rPr>
        <w:t xml:space="preserve"> non si riferisce solo ai reati più strettamente definiti come corruttivi nell’ordinamento penale italiano (articolo 317, 318, 319, 319-ter, 319-quater del Codice penale), ma anche ai reati relativi ad atti che la legge definisce come “condotte di natura corruttiva”. In particolare ANAC, con la propria delibera n. 215 del 2019, ai fini dell’applicazione della misura generale della rotazione straordinaria, ha considerato come “condotte di natura corruttiva” tutte quelle indicate dall’articolo 7 della Lege n. 69 del 2015, che aggiunge ai reati sopra espressamente citati anche di cui agli articoli 319-bis, 321, 322, 322-bis, 346-bis, 353, 353-bis del Codice penale.</w:t>
      </w:r>
    </w:p>
    <w:p w14:paraId="59CE26C4" w14:textId="77777777" w:rsidR="0047595E" w:rsidRPr="0047595E" w:rsidRDefault="0047595E" w:rsidP="0047595E">
      <w:pPr>
        <w:spacing w:before="195" w:line="360" w:lineRule="auto"/>
        <w:ind w:left="812" w:right="809"/>
        <w:jc w:val="both"/>
        <w:rPr>
          <w:sz w:val="21"/>
          <w:szCs w:val="21"/>
        </w:rPr>
      </w:pPr>
      <w:r w:rsidRPr="0047595E">
        <w:rPr>
          <w:sz w:val="21"/>
          <w:szCs w:val="21"/>
        </w:rPr>
        <w:t>Nonostante tale ampliamento, la corruzione resta delimitata a specifici comportamenti di un pubblico funzionario configuranti ipotesi di reato.</w:t>
      </w:r>
    </w:p>
    <w:p w14:paraId="54B2005F" w14:textId="77777777" w:rsidR="0047595E" w:rsidRPr="0047595E" w:rsidRDefault="0047595E" w:rsidP="0047595E">
      <w:pPr>
        <w:spacing w:before="195" w:line="360" w:lineRule="auto"/>
        <w:ind w:left="812" w:right="809"/>
        <w:jc w:val="both"/>
        <w:rPr>
          <w:sz w:val="21"/>
          <w:szCs w:val="21"/>
        </w:rPr>
      </w:pPr>
      <w:r w:rsidRPr="0047595E">
        <w:rPr>
          <w:sz w:val="21"/>
          <w:szCs w:val="21"/>
        </w:rPr>
        <w:t xml:space="preserve">Tuttavia, le Convenzioni internazionali contro la corruzione promuovono presso gli Stati che le sottoscrivono e ratificano, oltre a misure di rafforzamento della repressione penale, anche </w:t>
      </w:r>
      <w:r w:rsidRPr="0047595E">
        <w:rPr>
          <w:sz w:val="21"/>
          <w:szCs w:val="21"/>
        </w:rPr>
        <w:lastRenderedPageBreak/>
        <w:t>misure di carattere preventivo, ad ampio spettro, sia di carattere organizzativo (o oggettivo) che di carattere comportamentale (o soggettivo).</w:t>
      </w:r>
    </w:p>
    <w:p w14:paraId="4BC52E2D" w14:textId="77777777" w:rsidR="0047595E" w:rsidRPr="0047595E" w:rsidRDefault="0047595E" w:rsidP="0047595E">
      <w:pPr>
        <w:spacing w:before="195" w:line="360" w:lineRule="auto"/>
        <w:ind w:left="812" w:right="809"/>
        <w:jc w:val="both"/>
        <w:rPr>
          <w:sz w:val="21"/>
          <w:szCs w:val="21"/>
        </w:rPr>
      </w:pPr>
      <w:r w:rsidRPr="0047595E">
        <w:rPr>
          <w:sz w:val="21"/>
          <w:szCs w:val="21"/>
        </w:rPr>
        <w:t>Le prime prescindono da considerazioni soggettive, ma si preoccupano piuttosto di precostituire condizioni organizzative e di lavoro che rendano difficili comportamenti corruttivi.</w:t>
      </w:r>
    </w:p>
    <w:p w14:paraId="6689633D" w14:textId="77777777" w:rsidR="0047595E" w:rsidRPr="0047595E" w:rsidRDefault="0047595E" w:rsidP="0047595E">
      <w:pPr>
        <w:spacing w:before="195" w:line="360" w:lineRule="auto"/>
        <w:ind w:left="812" w:right="809"/>
        <w:jc w:val="both"/>
        <w:rPr>
          <w:sz w:val="21"/>
          <w:szCs w:val="21"/>
        </w:rPr>
      </w:pPr>
      <w:r w:rsidRPr="0047595E">
        <w:rPr>
          <w:sz w:val="21"/>
          <w:szCs w:val="21"/>
        </w:rPr>
        <w:t>Le misure preventive di carattere soggettivo si propongono di evitare una vasta serie di comportamenti devianti, consistenti in reati, anche diversi di quelli di natura corruttiva (comprendendovi tutti quelli contro la Pubblica amministrazione di cui al Cap. I, Titolo II, Libro II del Codice penale), ma che possono creare allarme sociale, oppure consistenti anche in condotte contrarie a disposizioni amministrative e disciplinari, fino a quelle, anche omissive, di cattiva amministrazione, cioè contrarie all’interesse pubblico, per violazione dei canoni costituzionali di imparzialità e di buon andamento.</w:t>
      </w:r>
    </w:p>
    <w:p w14:paraId="3FB114C5" w14:textId="77777777" w:rsidR="0047595E" w:rsidRPr="0047595E" w:rsidRDefault="0047595E" w:rsidP="0047595E">
      <w:pPr>
        <w:spacing w:before="195" w:line="360" w:lineRule="auto"/>
        <w:ind w:left="812" w:right="809"/>
        <w:jc w:val="both"/>
        <w:rPr>
          <w:sz w:val="21"/>
          <w:szCs w:val="21"/>
        </w:rPr>
      </w:pPr>
      <w:r w:rsidRPr="0047595E">
        <w:rPr>
          <w:sz w:val="21"/>
          <w:szCs w:val="21"/>
        </w:rPr>
        <w:t xml:space="preserve">In definitiva con il termine “corruzione” ci si riferisce all’intera gamma di reati contro la pubblica amministrazione disciplinati dal titolo II del libro II del c.p. nonché le situazioni di “cattiva amministrazione”, nelle quali vanno compresi tutti i casi di deviazione significativa, dei comportamenti e delle decisioni, dalla cura imparziale dell’interesse pubblico, cioè le situazioni nelle quali interessi privati condizionino impropriamente l’azione delle Amministrazioni o degli Enti, sia che tale condizionamento abbia avuto successo, sia nel caso che rimanga a livello di tentativo. In altre parole, il concetto di corruzione deve essere inteso in senso lato come comprensivo delle varie situazioni in cui, nel corso dell’attività amministrativa, si riscontri l’abuso da parte di un soggetto del potere a lui affidato al fine di ottenere vantaggi privati e cioè tutte le volte in cui venga in evidenza un malfunzionamento dell’Organizzazione a causa dell’uso a fini privati delle funzioni attribuite, a prescindere anche dalla loro rilevanza penale (Determinazione ANAC 8/15 e Circolare PDCM n. 1 del 25.1.2013). </w:t>
      </w:r>
    </w:p>
    <w:p w14:paraId="07769BD7" w14:textId="206D30AA" w:rsidR="0047595E" w:rsidRPr="0047595E" w:rsidRDefault="0047595E" w:rsidP="0047595E">
      <w:pPr>
        <w:pStyle w:val="Titolo1"/>
        <w:spacing w:line="360" w:lineRule="auto"/>
        <w:ind w:right="780"/>
        <w:jc w:val="both"/>
        <w:rPr>
          <w:smallCaps/>
        </w:rPr>
      </w:pPr>
      <w:bookmarkStart w:id="1" w:name="_Toc220506547"/>
      <w:r>
        <w:t>2</w:t>
      </w:r>
      <w:r w:rsidRPr="0047595E">
        <w:rPr>
          <w:smallCaps/>
        </w:rPr>
        <w:t>.  I Piani Nazionali Anticorruzione</w:t>
      </w:r>
      <w:r w:rsidR="008B001F">
        <w:rPr>
          <w:smallCaps/>
        </w:rPr>
        <w:t>:</w:t>
      </w:r>
      <w:r w:rsidRPr="0047595E">
        <w:rPr>
          <w:smallCaps/>
        </w:rPr>
        <w:t xml:space="preserve"> il PNA 2019</w:t>
      </w:r>
      <w:r w:rsidR="008B001F">
        <w:rPr>
          <w:smallCaps/>
        </w:rPr>
        <w:t xml:space="preserve"> e i PNA 2022</w:t>
      </w:r>
      <w:r w:rsidR="00F72258">
        <w:rPr>
          <w:smallCaps/>
        </w:rPr>
        <w:t xml:space="preserve"> </w:t>
      </w:r>
      <w:r w:rsidR="00623BE7">
        <w:rPr>
          <w:smallCaps/>
        </w:rPr>
        <w:t>–</w:t>
      </w:r>
      <w:r w:rsidR="00F72258">
        <w:rPr>
          <w:smallCaps/>
        </w:rPr>
        <w:t xml:space="preserve"> 2023</w:t>
      </w:r>
      <w:r w:rsidR="00623BE7">
        <w:rPr>
          <w:smallCaps/>
        </w:rPr>
        <w:t xml:space="preserve"> -2025</w:t>
      </w:r>
      <w:bookmarkEnd w:id="1"/>
      <w:r w:rsidRPr="0047595E">
        <w:rPr>
          <w:smallCaps/>
        </w:rPr>
        <w:t xml:space="preserve"> </w:t>
      </w:r>
    </w:p>
    <w:p w14:paraId="6C454B83" w14:textId="77777777" w:rsidR="0047595E" w:rsidRPr="0047595E" w:rsidRDefault="0047595E" w:rsidP="0047595E">
      <w:pPr>
        <w:spacing w:before="195" w:line="360" w:lineRule="auto"/>
        <w:ind w:left="812" w:right="809"/>
        <w:jc w:val="both"/>
        <w:rPr>
          <w:sz w:val="21"/>
          <w:szCs w:val="21"/>
        </w:rPr>
      </w:pPr>
      <w:r w:rsidRPr="0047595E">
        <w:rPr>
          <w:sz w:val="21"/>
          <w:szCs w:val="21"/>
        </w:rPr>
        <w:t>Sulla base di quanto previsto all’articolo 1, comma 4, della Legge n. 190/2012, è stato approvato, nel 2013, un “</w:t>
      </w:r>
      <w:r w:rsidRPr="0047595E">
        <w:rPr>
          <w:i/>
          <w:iCs/>
          <w:sz w:val="21"/>
          <w:szCs w:val="21"/>
        </w:rPr>
        <w:t>Piano Nazionale Anticorruzione</w:t>
      </w:r>
      <w:r w:rsidRPr="0047595E">
        <w:rPr>
          <w:sz w:val="21"/>
          <w:szCs w:val="21"/>
        </w:rPr>
        <w:t xml:space="preserve">” (PNA) (delibera n. 72 del 11 settembre 2013). </w:t>
      </w:r>
    </w:p>
    <w:p w14:paraId="396EDA93" w14:textId="77777777" w:rsidR="0047595E" w:rsidRPr="0047595E" w:rsidRDefault="0047595E" w:rsidP="0047595E">
      <w:pPr>
        <w:spacing w:before="195" w:line="360" w:lineRule="auto"/>
        <w:ind w:left="812" w:right="809"/>
        <w:jc w:val="both"/>
        <w:rPr>
          <w:sz w:val="21"/>
          <w:szCs w:val="21"/>
        </w:rPr>
      </w:pPr>
      <w:r w:rsidRPr="0047595E">
        <w:rPr>
          <w:sz w:val="21"/>
          <w:szCs w:val="21"/>
        </w:rPr>
        <w:t xml:space="preserve">Successivamente il PNA, a partire dalla determinazione ANAC del 28 ottobre 2015, n. 12, ha subito alcune modiche. Nel 2016, con delibera n. 831 del 3 agosto 2016, ANAC ha adottato il Piano Nazionale Anticorruzione 2016, ad integrazione e parziale modifica del precedente Piano Nazionale e relativi aggiornamenti. Il Piano del 2016 è stato aggiornato con la delibera ANAC n. 1208 del 22 novembre 2017 (aggiornamento 2017) e con delibera </w:t>
      </w:r>
      <w:r w:rsidRPr="0047595E">
        <w:rPr>
          <w:sz w:val="21"/>
          <w:szCs w:val="21"/>
        </w:rPr>
        <w:lastRenderedPageBreak/>
        <w:t>1074 del 21 novembre 2018 (aggiornamento 2018).</w:t>
      </w:r>
    </w:p>
    <w:p w14:paraId="6CC40826" w14:textId="2F051952" w:rsidR="0047595E" w:rsidRPr="0047595E" w:rsidRDefault="0047595E" w:rsidP="0047595E">
      <w:pPr>
        <w:spacing w:before="195" w:line="360" w:lineRule="auto"/>
        <w:ind w:left="812" w:right="809"/>
        <w:jc w:val="both"/>
        <w:rPr>
          <w:sz w:val="21"/>
          <w:szCs w:val="21"/>
        </w:rPr>
      </w:pPr>
      <w:r w:rsidRPr="0047595E">
        <w:rPr>
          <w:sz w:val="21"/>
          <w:szCs w:val="21"/>
        </w:rPr>
        <w:t>Con delibera n. 1064 del 13 novembre 2019, ANAC ha adottato il Piano Nazionale Anticorruzione 2019. Quest’ultimo atto di indirizzo presenta la caratteristica di rivedere e consolidare le indicazioni date dall’Autorità negli anni precedenti, formalizzate in appositi atti regolatori, a partire dalle parti generali dei piani nazionali, con relativi aggiornamenti annuali.</w:t>
      </w:r>
    </w:p>
    <w:p w14:paraId="2E76477D" w14:textId="77777777" w:rsidR="0047595E" w:rsidRPr="0047595E" w:rsidRDefault="0047595E" w:rsidP="0047595E">
      <w:pPr>
        <w:spacing w:before="195" w:line="360" w:lineRule="auto"/>
        <w:ind w:left="812" w:right="809"/>
        <w:jc w:val="both"/>
        <w:rPr>
          <w:sz w:val="21"/>
          <w:szCs w:val="21"/>
        </w:rPr>
      </w:pPr>
      <w:r w:rsidRPr="0047595E">
        <w:rPr>
          <w:sz w:val="21"/>
          <w:szCs w:val="21"/>
        </w:rPr>
        <w:t>Il Piano Nazionale, come anticipato, compendia i Piani precedenti ed è stato adottato all’esito di un’ampia consultazione pubblica. Il Piano assume particolare rilievo poiché, come precisato dalla stessa Autorità «</w:t>
      </w:r>
      <w:r w:rsidRPr="008B001F">
        <w:rPr>
          <w:i/>
          <w:iCs/>
          <w:sz w:val="21"/>
          <w:szCs w:val="21"/>
        </w:rPr>
        <w:t>con l’intento di agevolare il lavoro delle amministrazioni, tenute a recepire nei loro Piani anticorruzione le indicazioni contenute nel PNA, l’Anac ha deciso di intraprendere un percorso nuovo: rivedere e consolidare in un unico atto di indirizzo tutte le indicazioni fornite fino ad oggi, integrandole con orientamenti maturati nel corso del tempo e oggetto di appositi atti regolatori</w:t>
      </w:r>
      <w:r w:rsidRPr="0047595E">
        <w:rPr>
          <w:sz w:val="21"/>
          <w:szCs w:val="21"/>
        </w:rPr>
        <w:t>».</w:t>
      </w:r>
    </w:p>
    <w:p w14:paraId="0AA13FA9" w14:textId="2E8ABC5E" w:rsidR="0047595E" w:rsidRDefault="0047595E" w:rsidP="0047595E">
      <w:pPr>
        <w:spacing w:before="195" w:line="360" w:lineRule="auto"/>
        <w:ind w:left="812" w:right="809"/>
        <w:jc w:val="both"/>
        <w:rPr>
          <w:sz w:val="21"/>
          <w:szCs w:val="21"/>
        </w:rPr>
      </w:pPr>
      <w:r w:rsidRPr="0047595E">
        <w:rPr>
          <w:sz w:val="21"/>
          <w:szCs w:val="21"/>
        </w:rPr>
        <w:t>RPCT ha, in particolare, tenuto in debito conto i contenuti dell’ALLEGATO I, contenente le indicazioni metodologiche per la gestione dei rischi corruttivi: esso specifica in premessa che «</w:t>
      </w:r>
      <w:r w:rsidRPr="0047595E">
        <w:rPr>
          <w:i/>
          <w:iCs/>
          <w:sz w:val="21"/>
          <w:szCs w:val="21"/>
        </w:rPr>
        <w:t>il PNA 2013 e l’Aggiornamento 2015 al PNA avevano fornito una serie di indicazioni ai sensi della legge 190/2012, indicazioni che il presente allegato metodologico ha integrato e aggiornato, alla luce dei principali standard internazionali di risk management, tenendo conto delle precedenti esperienze di attuazione dei PNA e delle osservazioni pervenute. Il presente allegato diventa pertanto l’unico documento metodologico da seguire nella predisposizione dei Piani triennali della prevenzione della corruzione e della trasparenza (PTPCT) per la parte relativa alla gestione del rischio corruttivo</w:t>
      </w:r>
      <w:r w:rsidRPr="0047595E">
        <w:rPr>
          <w:sz w:val="21"/>
          <w:szCs w:val="21"/>
        </w:rPr>
        <w:t>».</w:t>
      </w:r>
    </w:p>
    <w:p w14:paraId="5D618211" w14:textId="1056A206" w:rsidR="00C5172C" w:rsidRDefault="00623BE7" w:rsidP="00C5172C">
      <w:pPr>
        <w:spacing w:before="195" w:line="360" w:lineRule="auto"/>
        <w:ind w:left="812" w:right="809"/>
        <w:jc w:val="both"/>
        <w:rPr>
          <w:sz w:val="21"/>
          <w:szCs w:val="21"/>
        </w:rPr>
      </w:pPr>
      <w:r>
        <w:rPr>
          <w:sz w:val="21"/>
          <w:szCs w:val="21"/>
        </w:rPr>
        <w:t>S</w:t>
      </w:r>
      <w:r w:rsidR="00C5172C">
        <w:rPr>
          <w:sz w:val="21"/>
          <w:szCs w:val="21"/>
        </w:rPr>
        <w:t>ono stati</w:t>
      </w:r>
      <w:r>
        <w:rPr>
          <w:sz w:val="21"/>
          <w:szCs w:val="21"/>
        </w:rPr>
        <w:t>, altresì,</w:t>
      </w:r>
      <w:r w:rsidR="00C5172C">
        <w:rPr>
          <w:sz w:val="21"/>
          <w:szCs w:val="21"/>
        </w:rPr>
        <w:t xml:space="preserve"> presi in debito esame i contenuti del PNA 2022 </w:t>
      </w:r>
      <w:r w:rsidR="00C5172C" w:rsidRPr="00C5172C">
        <w:rPr>
          <w:sz w:val="21"/>
          <w:szCs w:val="21"/>
        </w:rPr>
        <w:t>approvato dal Consiglio dell'Anac il 16 novembre 2022</w:t>
      </w:r>
      <w:r w:rsidR="00C5172C">
        <w:rPr>
          <w:sz w:val="21"/>
          <w:szCs w:val="21"/>
        </w:rPr>
        <w:t>,</w:t>
      </w:r>
      <w:r w:rsidR="00C5172C" w:rsidRPr="00C5172C">
        <w:t xml:space="preserve"> </w:t>
      </w:r>
      <w:r w:rsidR="00C5172C" w:rsidRPr="00C5172C">
        <w:rPr>
          <w:sz w:val="21"/>
          <w:szCs w:val="21"/>
        </w:rPr>
        <w:t>ove al §4 l’Autorità ha precisato che “</w:t>
      </w:r>
      <w:r w:rsidR="00C5172C" w:rsidRPr="00C5172C">
        <w:rPr>
          <w:i/>
          <w:iCs/>
          <w:sz w:val="21"/>
          <w:szCs w:val="21"/>
        </w:rPr>
        <w:t xml:space="preserve">le amministrazioni pubbliche e gli enti di diritto privato tenuti ad adottare i PTPCT o le misure integrative del MOG 231 o il documento che tiene luogo del PTPCT, continuano a seguire le indicazioni metodologiche già elaborate dall’Autorità. Gli enti pubblici economici, le società e gli enti di diritto privato si attengono inoltre a quanto previsto nella delibera ANAC n. 1134/2017. Per quanto riguarda la trasparenza, le amministrazioni e gli enti con meno di cinquanta dipendenti seguono le indicazioni già date dall’Autorità nelle delibere </w:t>
      </w:r>
      <w:proofErr w:type="spellStart"/>
      <w:r w:rsidR="00C5172C" w:rsidRPr="00C5172C">
        <w:rPr>
          <w:i/>
          <w:iCs/>
          <w:sz w:val="21"/>
          <w:szCs w:val="21"/>
        </w:rPr>
        <w:t>nn</w:t>
      </w:r>
      <w:proofErr w:type="spellEnd"/>
      <w:r w:rsidR="00C5172C" w:rsidRPr="00C5172C">
        <w:rPr>
          <w:i/>
          <w:iCs/>
          <w:sz w:val="21"/>
          <w:szCs w:val="21"/>
        </w:rPr>
        <w:t>. 1310/2016 e 1134/2017, già richiamate, unitamente alle misure di semplificazione indicate dall’Autorità al § 10 Semplificazioni per le amministrazioni ed enti con meno di cinquanta dipendenti</w:t>
      </w:r>
      <w:r w:rsidR="00C5172C" w:rsidRPr="00C5172C">
        <w:rPr>
          <w:sz w:val="21"/>
          <w:szCs w:val="21"/>
        </w:rPr>
        <w:t>”.</w:t>
      </w:r>
    </w:p>
    <w:p w14:paraId="2E88813C" w14:textId="12E0A51F" w:rsidR="00C5172C" w:rsidRDefault="00F72258" w:rsidP="00C5172C">
      <w:pPr>
        <w:spacing w:before="195" w:line="360" w:lineRule="auto"/>
        <w:ind w:left="812" w:right="809"/>
        <w:jc w:val="both"/>
        <w:rPr>
          <w:sz w:val="21"/>
          <w:szCs w:val="21"/>
        </w:rPr>
      </w:pPr>
      <w:r>
        <w:rPr>
          <w:sz w:val="21"/>
          <w:szCs w:val="21"/>
        </w:rPr>
        <w:t xml:space="preserve">Come noto gli aggiornamenti 2023 e 2024 del PNA </w:t>
      </w:r>
      <w:r w:rsidRPr="00F72258">
        <w:rPr>
          <w:sz w:val="21"/>
          <w:szCs w:val="21"/>
        </w:rPr>
        <w:t xml:space="preserve">sono circoscritti alla sola parte speciale del PNA 2022 con riferimento all’area dei contratti pubblici al fine di adeguare i contenuti </w:t>
      </w:r>
      <w:r w:rsidRPr="00F72258">
        <w:rPr>
          <w:sz w:val="21"/>
          <w:szCs w:val="21"/>
        </w:rPr>
        <w:lastRenderedPageBreak/>
        <w:t>dei rischi e delle misure di prevenzione della corruzione e per la trasparenza ad alcune disposizioni del nuovo codice dei contratti</w:t>
      </w:r>
      <w:r>
        <w:rPr>
          <w:sz w:val="21"/>
          <w:szCs w:val="21"/>
        </w:rPr>
        <w:t>.</w:t>
      </w:r>
    </w:p>
    <w:p w14:paraId="3E0A57FF" w14:textId="63490FB9" w:rsidR="00623BE7" w:rsidRPr="00623BE7" w:rsidRDefault="00623BE7" w:rsidP="00623BE7">
      <w:pPr>
        <w:spacing w:before="195" w:line="360" w:lineRule="auto"/>
        <w:ind w:left="812" w:right="809"/>
        <w:jc w:val="both"/>
        <w:rPr>
          <w:sz w:val="21"/>
          <w:szCs w:val="21"/>
        </w:rPr>
      </w:pPr>
      <w:r w:rsidRPr="00623BE7">
        <w:rPr>
          <w:sz w:val="21"/>
          <w:szCs w:val="21"/>
        </w:rPr>
        <w:t>L’</w:t>
      </w:r>
      <w:r w:rsidRPr="00623BE7">
        <w:rPr>
          <w:b/>
          <w:bCs/>
          <w:sz w:val="21"/>
          <w:szCs w:val="21"/>
        </w:rPr>
        <w:t xml:space="preserve">aggiornamento 2025 </w:t>
      </w:r>
      <w:r w:rsidRPr="00623BE7">
        <w:rPr>
          <w:sz w:val="21"/>
          <w:szCs w:val="21"/>
        </w:rPr>
        <w:t>al Piano Nazionale Anticorruzione</w:t>
      </w:r>
      <w:r>
        <w:rPr>
          <w:sz w:val="21"/>
          <w:szCs w:val="21"/>
        </w:rPr>
        <w:t xml:space="preserve"> </w:t>
      </w:r>
      <w:r w:rsidRPr="00623BE7">
        <w:rPr>
          <w:sz w:val="21"/>
          <w:szCs w:val="21"/>
        </w:rPr>
        <w:t xml:space="preserve">si è concentrato per il triennio 2026-2028 sulla trasparenza amministrativa: necessità conseguente all’entrata in vigore, con decorrenza 24 settembre 2025, della Delibera ANAC 495 del 25 settembre 2024 concernente gli obblighi di pubblicazione. Dalle analisi delle criticità riscontrate dall’Autorità mediante attività di web </w:t>
      </w:r>
      <w:proofErr w:type="spellStart"/>
      <w:r w:rsidRPr="00623BE7">
        <w:rPr>
          <w:sz w:val="21"/>
          <w:szCs w:val="21"/>
        </w:rPr>
        <w:t>crawling</w:t>
      </w:r>
      <w:proofErr w:type="spellEnd"/>
      <w:r w:rsidRPr="00623BE7">
        <w:rPr>
          <w:sz w:val="21"/>
          <w:szCs w:val="21"/>
        </w:rPr>
        <w:t xml:space="preserve"> sono state indicate le seguenti raccomandazioni:</w:t>
      </w:r>
    </w:p>
    <w:p w14:paraId="2DDE9EAA"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garantire la fruibilità dei contenuti pubblicati da parte di tutti, comprese le persone con disabilità visive, motorie o cognitive, come indicato da AGID;</w:t>
      </w:r>
    </w:p>
    <w:p w14:paraId="5079AF1B"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prevedere un’unica sezione amministrazione trasparente senza distinzione in periodi temporali diversi;</w:t>
      </w:r>
    </w:p>
    <w:p w14:paraId="673F865C"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consentire l'accesso immediato alla sezione amministrazione trasparente, senza necessità di passaggi intermedi (evitando, ad esempio, il rinvio ad altra sezione del sito e/o finestra di navigazione per accedere alla sezione);</w:t>
      </w:r>
    </w:p>
    <w:p w14:paraId="0B125250"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 xml:space="preserve">rappresentare in modo completo l’alberatura e tutte le sottosezioni di cui essa si compone, anche </w:t>
      </w:r>
      <w:proofErr w:type="gramStart"/>
      <w:r w:rsidRPr="00623BE7">
        <w:rPr>
          <w:sz w:val="21"/>
          <w:szCs w:val="21"/>
        </w:rPr>
        <w:t>se  alcuni</w:t>
      </w:r>
      <w:proofErr w:type="gramEnd"/>
      <w:r w:rsidRPr="00623BE7">
        <w:rPr>
          <w:sz w:val="21"/>
          <w:szCs w:val="21"/>
        </w:rPr>
        <w:t xml:space="preserve"> obblighi non sono applicabili;</w:t>
      </w:r>
    </w:p>
    <w:p w14:paraId="58EC8733"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inserire, in caso di non applicabilità di una sezione, di apposita dichiarazione in tal senso;</w:t>
      </w:r>
    </w:p>
    <w:p w14:paraId="050B9BF4"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la sottosezione di amministrazione trasparente in cui le informazioni, dati e documenti sono pubblicati deve riportare la data di pubblicazione “iniziale” e quella del successivo aggiornamento;</w:t>
      </w:r>
    </w:p>
    <w:p w14:paraId="296A8CC0"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assicurare l’accesso alla sezione amministrazione trasparente tramite un testo con link;</w:t>
      </w:r>
    </w:p>
    <w:p w14:paraId="77A6628F"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 xml:space="preserve">garantire libero accesso alla sezione amministrazione trasparente, </w:t>
      </w:r>
      <w:proofErr w:type="gramStart"/>
      <w:r w:rsidRPr="00623BE7">
        <w:rPr>
          <w:sz w:val="21"/>
          <w:szCs w:val="21"/>
        </w:rPr>
        <w:t>alla  ricerca</w:t>
      </w:r>
      <w:proofErr w:type="gramEnd"/>
      <w:r w:rsidRPr="00623BE7">
        <w:rPr>
          <w:sz w:val="21"/>
          <w:szCs w:val="21"/>
        </w:rPr>
        <w:t xml:space="preserve"> e alla consultazione delle informazioni ivi pubblicate;</w:t>
      </w:r>
    </w:p>
    <w:p w14:paraId="45200CB9" w14:textId="77777777" w:rsidR="00623BE7" w:rsidRP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mantenere la stessa identità visiva nel caso in cui la sezione sia posizionata su un sito diverso da quello della Società;</w:t>
      </w:r>
    </w:p>
    <w:p w14:paraId="19973AC9" w14:textId="7994E9F3" w:rsidR="00623BE7" w:rsidRDefault="00623BE7" w:rsidP="00623BE7">
      <w:pPr>
        <w:spacing w:before="195" w:line="360" w:lineRule="auto"/>
        <w:ind w:left="812" w:right="809"/>
        <w:jc w:val="both"/>
        <w:rPr>
          <w:sz w:val="21"/>
          <w:szCs w:val="21"/>
        </w:rPr>
      </w:pPr>
      <w:r w:rsidRPr="00623BE7">
        <w:rPr>
          <w:sz w:val="21"/>
          <w:szCs w:val="21"/>
        </w:rPr>
        <w:t>-</w:t>
      </w:r>
      <w:r w:rsidRPr="00623BE7">
        <w:rPr>
          <w:sz w:val="21"/>
          <w:szCs w:val="21"/>
        </w:rPr>
        <w:tab/>
        <w:t>rendere facilmente accessibile la sezione da qualsiasi tipologia di dispositivo (PC, smartphone, tablet).</w:t>
      </w:r>
    </w:p>
    <w:p w14:paraId="62A8F57E" w14:textId="77777777" w:rsidR="004A6456" w:rsidRDefault="004A6456" w:rsidP="0047595E">
      <w:pPr>
        <w:pStyle w:val="Titolo1"/>
        <w:spacing w:line="360" w:lineRule="auto"/>
        <w:ind w:right="922"/>
        <w:jc w:val="both"/>
      </w:pPr>
    </w:p>
    <w:p w14:paraId="7684DF59" w14:textId="00874A8F" w:rsidR="0047595E" w:rsidRDefault="00671649" w:rsidP="004A6456">
      <w:pPr>
        <w:pStyle w:val="Titolo1"/>
        <w:spacing w:line="360" w:lineRule="auto"/>
        <w:ind w:right="497"/>
        <w:jc w:val="both"/>
        <w:rPr>
          <w:smallCaps/>
        </w:rPr>
      </w:pPr>
      <w:bookmarkStart w:id="2" w:name="_Toc220506548"/>
      <w:r>
        <w:t>2.</w:t>
      </w:r>
      <w:r w:rsidR="00EE2415">
        <w:t>1</w:t>
      </w:r>
      <w:r>
        <w:t xml:space="preserve"> </w:t>
      </w:r>
      <w:r w:rsidR="0047595E" w:rsidRPr="0047595E">
        <w:rPr>
          <w:smallCaps/>
        </w:rPr>
        <w:t>Il PNA 2019</w:t>
      </w:r>
      <w:r w:rsidR="00C5172C">
        <w:rPr>
          <w:smallCaps/>
        </w:rPr>
        <w:t xml:space="preserve"> e 2022 </w:t>
      </w:r>
      <w:r w:rsidR="0047595E" w:rsidRPr="0047595E">
        <w:rPr>
          <w:smallCaps/>
        </w:rPr>
        <w:t xml:space="preserve">e la Attuazione dei Principi in </w:t>
      </w:r>
      <w:r w:rsidR="0047595E">
        <w:rPr>
          <w:smallCaps/>
        </w:rPr>
        <w:t>ASP e EBS</w:t>
      </w:r>
      <w:r w:rsidR="0047595E" w:rsidRPr="0047595E">
        <w:rPr>
          <w:smallCaps/>
        </w:rPr>
        <w:t xml:space="preserve">: Peculiarità della </w:t>
      </w:r>
      <w:r w:rsidR="00713592">
        <w:rPr>
          <w:smallCaps/>
        </w:rPr>
        <w:lastRenderedPageBreak/>
        <w:t>R</w:t>
      </w:r>
      <w:r w:rsidR="0047595E" w:rsidRPr="0047595E">
        <w:rPr>
          <w:smallCaps/>
        </w:rPr>
        <w:t>ealtà</w:t>
      </w:r>
      <w:bookmarkEnd w:id="2"/>
    </w:p>
    <w:p w14:paraId="38176AB1" w14:textId="3B1AD8FB" w:rsidR="002E1F5D" w:rsidRDefault="002E1F5D" w:rsidP="002E1F5D">
      <w:pPr>
        <w:spacing w:line="360" w:lineRule="auto"/>
        <w:ind w:left="851" w:right="497" w:firstLine="589"/>
        <w:jc w:val="both"/>
        <w:rPr>
          <w:rFonts w:eastAsia="Times New Roman" w:cs="Arial"/>
          <w:sz w:val="21"/>
          <w:szCs w:val="21"/>
          <w:lang w:eastAsia="en-US" w:bidi="ar-SA"/>
        </w:rPr>
      </w:pPr>
      <w:r>
        <w:rPr>
          <w:rFonts w:eastAsia="Times New Roman" w:cs="Arial"/>
          <w:sz w:val="21"/>
          <w:szCs w:val="21"/>
          <w:lang w:eastAsia="en-US" w:bidi="ar-SA"/>
        </w:rPr>
        <w:t>Pare necessario ribadire anche nel presente aggiornamento del Piano le peculiarità delle realtà aziendali: A</w:t>
      </w:r>
      <w:r w:rsidRPr="0047595E">
        <w:rPr>
          <w:rFonts w:eastAsia="Times New Roman" w:cs="Arial"/>
          <w:sz w:val="21"/>
          <w:szCs w:val="21"/>
          <w:lang w:eastAsia="en-US" w:bidi="ar-SA"/>
        </w:rPr>
        <w:t xml:space="preserve">SP Emanuele Brignole </w:t>
      </w:r>
      <w:r>
        <w:rPr>
          <w:rFonts w:eastAsia="Times New Roman" w:cs="Arial"/>
          <w:sz w:val="21"/>
          <w:szCs w:val="21"/>
          <w:lang w:eastAsia="en-US" w:bidi="ar-SA"/>
        </w:rPr>
        <w:t>è, infatti,</w:t>
      </w:r>
      <w:r w:rsidRPr="0047595E">
        <w:rPr>
          <w:rFonts w:eastAsia="Times New Roman" w:cs="Arial"/>
          <w:sz w:val="21"/>
          <w:szCs w:val="21"/>
          <w:lang w:eastAsia="en-US" w:bidi="ar-SA"/>
        </w:rPr>
        <w:t xml:space="preserve"> Azienda priva di dipendenti, priva di scopo di lucro, la quale eroga servizi alla persona tramite la controllata EBS – Emanuele Brignole Servizi Srl. La “gestione” di ASP è affidata al Commissario Straordinario arch. Marco Sinesi, il quale ricopre altresì il ruolo di amministratore unico della controllata EBS (nomine effettuate tramite delibera della Giunta Regionale della Liguria nr.559 del 14 luglio 2017).</w:t>
      </w:r>
    </w:p>
    <w:p w14:paraId="1002FBC4" w14:textId="14F1BCFE" w:rsidR="002E1F5D" w:rsidRPr="0047595E" w:rsidRDefault="002E1F5D" w:rsidP="002E1F5D">
      <w:pPr>
        <w:spacing w:line="360" w:lineRule="auto"/>
        <w:ind w:left="851" w:right="497" w:firstLine="589"/>
        <w:jc w:val="both"/>
        <w:rPr>
          <w:rFonts w:eastAsia="Times New Roman" w:cs="Arial"/>
          <w:sz w:val="21"/>
          <w:szCs w:val="21"/>
          <w:lang w:eastAsia="en-US" w:bidi="ar-SA"/>
        </w:rPr>
      </w:pPr>
      <w:r>
        <w:rPr>
          <w:rFonts w:eastAsia="Times New Roman" w:cs="Arial"/>
          <w:sz w:val="21"/>
          <w:szCs w:val="21"/>
          <w:lang w:eastAsia="en-US" w:bidi="ar-SA"/>
        </w:rPr>
        <w:t xml:space="preserve">Quanto sopra ha incidenza sia in punto concreta applicazione di talune previsioni di legge e principi applicativi espressi da Anac (a titolo esemplificativo per quanto concerne la rotazione del personale, il </w:t>
      </w:r>
      <w:proofErr w:type="spellStart"/>
      <w:r>
        <w:rPr>
          <w:rFonts w:eastAsia="Times New Roman" w:cs="Arial"/>
          <w:sz w:val="21"/>
          <w:szCs w:val="21"/>
          <w:lang w:eastAsia="en-US" w:bidi="ar-SA"/>
        </w:rPr>
        <w:t>pantouflage</w:t>
      </w:r>
      <w:proofErr w:type="spellEnd"/>
      <w:r>
        <w:rPr>
          <w:rFonts w:eastAsia="Times New Roman" w:cs="Arial"/>
          <w:sz w:val="21"/>
          <w:szCs w:val="21"/>
          <w:lang w:eastAsia="en-US" w:bidi="ar-SA"/>
        </w:rPr>
        <w:t>, l’attività formativa etc.), sia per quanto concerne l’individuazione e la nomina di RPCT</w:t>
      </w:r>
      <w:r w:rsidR="00623BE7">
        <w:rPr>
          <w:rFonts w:eastAsia="Times New Roman" w:cs="Arial"/>
          <w:sz w:val="21"/>
          <w:szCs w:val="21"/>
          <w:lang w:eastAsia="en-US" w:bidi="ar-SA"/>
        </w:rPr>
        <w:t xml:space="preserve"> su cui </w:t>
      </w:r>
      <w:r w:rsidR="00623BE7" w:rsidRPr="00623BE7">
        <w:rPr>
          <w:rFonts w:eastAsia="Times New Roman" w:cs="Arial"/>
          <w:sz w:val="21"/>
          <w:szCs w:val="21"/>
          <w:lang w:eastAsia="en-US" w:bidi="ar-SA"/>
        </w:rPr>
        <w:t>infra</w:t>
      </w:r>
      <w:r>
        <w:rPr>
          <w:rFonts w:eastAsia="Times New Roman" w:cs="Arial"/>
          <w:sz w:val="21"/>
          <w:szCs w:val="21"/>
          <w:lang w:eastAsia="en-US" w:bidi="ar-SA"/>
        </w:rPr>
        <w:t>.</w:t>
      </w:r>
    </w:p>
    <w:p w14:paraId="089AA5E8" w14:textId="77777777" w:rsidR="00D85672" w:rsidRDefault="00D85672" w:rsidP="002E1F5D">
      <w:pPr>
        <w:spacing w:line="360" w:lineRule="auto"/>
        <w:ind w:left="851" w:right="497"/>
        <w:jc w:val="both"/>
        <w:rPr>
          <w:rFonts w:eastAsia="Times New Roman" w:cs="Arial"/>
          <w:sz w:val="21"/>
          <w:szCs w:val="21"/>
          <w:lang w:eastAsia="en-US" w:bidi="ar-SA"/>
        </w:rPr>
      </w:pPr>
    </w:p>
    <w:p w14:paraId="1484AB6F" w14:textId="59D58915" w:rsidR="00D85672" w:rsidRPr="00D85672" w:rsidRDefault="00D85672" w:rsidP="00D85672">
      <w:pPr>
        <w:pStyle w:val="Titolo1"/>
        <w:spacing w:line="360" w:lineRule="auto"/>
        <w:ind w:right="497"/>
        <w:jc w:val="both"/>
      </w:pPr>
      <w:bookmarkStart w:id="3" w:name="_Toc220506549"/>
      <w:r w:rsidRPr="00D85672">
        <w:t xml:space="preserve">2.2 IL PNA 2023 </w:t>
      </w:r>
      <w:r w:rsidR="00F72258">
        <w:t>e 2024</w:t>
      </w:r>
      <w:bookmarkEnd w:id="3"/>
    </w:p>
    <w:p w14:paraId="75E5AB18" w14:textId="1593495F" w:rsidR="00D85672" w:rsidRPr="00D85672" w:rsidRDefault="00F72258" w:rsidP="00D85672">
      <w:pPr>
        <w:spacing w:line="360" w:lineRule="auto"/>
        <w:ind w:left="851" w:right="497"/>
        <w:jc w:val="both"/>
        <w:rPr>
          <w:rFonts w:eastAsia="Times New Roman" w:cs="Arial"/>
          <w:sz w:val="21"/>
          <w:szCs w:val="21"/>
          <w:lang w:eastAsia="en-US" w:bidi="ar-SA"/>
        </w:rPr>
      </w:pPr>
      <w:r>
        <w:rPr>
          <w:rFonts w:eastAsia="Times New Roman" w:cs="Arial"/>
          <w:sz w:val="21"/>
          <w:szCs w:val="21"/>
          <w:lang w:eastAsia="en-US" w:bidi="ar-SA"/>
        </w:rPr>
        <w:t>Gli a</w:t>
      </w:r>
      <w:r w:rsidR="00D85672" w:rsidRPr="00D85672">
        <w:rPr>
          <w:rFonts w:eastAsia="Times New Roman" w:cs="Arial"/>
          <w:sz w:val="21"/>
          <w:szCs w:val="21"/>
          <w:lang w:eastAsia="en-US" w:bidi="ar-SA"/>
        </w:rPr>
        <w:t>ggiornament</w:t>
      </w:r>
      <w:r>
        <w:rPr>
          <w:rFonts w:eastAsia="Times New Roman" w:cs="Arial"/>
          <w:sz w:val="21"/>
          <w:szCs w:val="21"/>
          <w:lang w:eastAsia="en-US" w:bidi="ar-SA"/>
        </w:rPr>
        <w:t>i</w:t>
      </w:r>
      <w:r w:rsidR="00D85672" w:rsidRPr="00D85672">
        <w:rPr>
          <w:rFonts w:eastAsia="Times New Roman" w:cs="Arial"/>
          <w:sz w:val="21"/>
          <w:szCs w:val="21"/>
          <w:lang w:eastAsia="en-US" w:bidi="ar-SA"/>
        </w:rPr>
        <w:t xml:space="preserve"> </w:t>
      </w:r>
      <w:r>
        <w:rPr>
          <w:rFonts w:eastAsia="Times New Roman" w:cs="Arial"/>
          <w:sz w:val="21"/>
          <w:szCs w:val="21"/>
          <w:lang w:eastAsia="en-US" w:bidi="ar-SA"/>
        </w:rPr>
        <w:t>sono</w:t>
      </w:r>
      <w:r w:rsidR="00D85672" w:rsidRPr="00D85672">
        <w:rPr>
          <w:rFonts w:eastAsia="Times New Roman" w:cs="Arial"/>
          <w:sz w:val="21"/>
          <w:szCs w:val="21"/>
          <w:lang w:eastAsia="en-US" w:bidi="ar-SA"/>
        </w:rPr>
        <w:t xml:space="preserve"> dedicat</w:t>
      </w:r>
      <w:r>
        <w:rPr>
          <w:rFonts w:eastAsia="Times New Roman" w:cs="Arial"/>
          <w:sz w:val="21"/>
          <w:szCs w:val="21"/>
          <w:lang w:eastAsia="en-US" w:bidi="ar-SA"/>
        </w:rPr>
        <w:t>i</w:t>
      </w:r>
      <w:r w:rsidR="00D85672" w:rsidRPr="00D85672">
        <w:rPr>
          <w:rFonts w:eastAsia="Times New Roman" w:cs="Arial"/>
          <w:sz w:val="21"/>
          <w:szCs w:val="21"/>
          <w:lang w:eastAsia="en-US" w:bidi="ar-SA"/>
        </w:rPr>
        <w:t xml:space="preserve"> ai contratti pubblici, la cui disciplina, come noto, è stata innovata </w:t>
      </w:r>
      <w:r w:rsidR="00D85672" w:rsidRPr="00F72258">
        <w:rPr>
          <w:rFonts w:eastAsia="Times New Roman" w:cs="Arial"/>
          <w:sz w:val="21"/>
          <w:szCs w:val="21"/>
          <w:lang w:eastAsia="en-US" w:bidi="ar-SA"/>
        </w:rPr>
        <w:t>dal</w:t>
      </w:r>
      <w:bookmarkStart w:id="4" w:name="0"/>
      <w:r w:rsidR="00D85672" w:rsidRPr="00F72258">
        <w:rPr>
          <w:rFonts w:eastAsia="Times New Roman" w:cs="Arial"/>
          <w:sz w:val="21"/>
          <w:szCs w:val="21"/>
          <w:lang w:eastAsia="en-US" w:bidi="ar-SA"/>
        </w:rPr>
        <w:t xml:space="preserve"> </w:t>
      </w:r>
      <w:hyperlink r:id="rId9" w:history="1">
        <w:proofErr w:type="spellStart"/>
        <w:r w:rsidR="00D85672" w:rsidRPr="00F72258">
          <w:rPr>
            <w:rStyle w:val="Collegamentoipertestuale"/>
            <w:rFonts w:eastAsia="Times New Roman" w:cs="Arial"/>
            <w:color w:val="auto"/>
            <w:sz w:val="21"/>
            <w:szCs w:val="21"/>
            <w:u w:val="none"/>
            <w:lang w:eastAsia="en-US" w:bidi="ar-SA"/>
          </w:rPr>
          <w:t>DLg.vo</w:t>
        </w:r>
        <w:proofErr w:type="spellEnd"/>
        <w:r w:rsidR="00D85672" w:rsidRPr="00F72258">
          <w:rPr>
            <w:rStyle w:val="Collegamentoipertestuale"/>
            <w:rFonts w:eastAsia="Times New Roman" w:cs="Arial"/>
            <w:color w:val="auto"/>
            <w:sz w:val="21"/>
            <w:szCs w:val="21"/>
            <w:u w:val="none"/>
            <w:lang w:eastAsia="en-US" w:bidi="ar-SA"/>
          </w:rPr>
          <w:t xml:space="preserve"> 36/2023</w:t>
        </w:r>
      </w:hyperlink>
      <w:bookmarkEnd w:id="4"/>
      <w:r w:rsidR="00D85672" w:rsidRPr="00F72258">
        <w:rPr>
          <w:rFonts w:eastAsia="Times New Roman" w:cs="Arial"/>
          <w:sz w:val="21"/>
          <w:szCs w:val="21"/>
          <w:lang w:eastAsia="en-US" w:bidi="ar-SA"/>
        </w:rPr>
        <w:t xml:space="preserve"> (nuovo Codice </w:t>
      </w:r>
      <w:r w:rsidR="00D85672" w:rsidRPr="00D85672">
        <w:rPr>
          <w:rFonts w:eastAsia="Times New Roman" w:cs="Arial"/>
          <w:sz w:val="21"/>
          <w:szCs w:val="21"/>
          <w:lang w:eastAsia="en-US" w:bidi="ar-SA"/>
        </w:rPr>
        <w:t>appalti); ANAC fornisce, pertanto, limitati chiarimenti e modifiche a quanto previsto nel PNA 2022, al fine di introdurre, ove necessario, riferimenti alle disposizioni del nuovo Codice.</w:t>
      </w:r>
    </w:p>
    <w:p w14:paraId="06E1B334" w14:textId="77777777" w:rsidR="00D85672" w:rsidRPr="00D85672" w:rsidRDefault="00D85672" w:rsidP="00D85672">
      <w:pPr>
        <w:spacing w:line="360" w:lineRule="auto"/>
        <w:ind w:left="851" w:right="497"/>
        <w:jc w:val="both"/>
        <w:rPr>
          <w:rFonts w:eastAsia="Times New Roman" w:cs="Arial"/>
          <w:sz w:val="21"/>
          <w:szCs w:val="21"/>
          <w:lang w:eastAsia="en-US" w:bidi="ar-SA"/>
        </w:rPr>
      </w:pPr>
      <w:r w:rsidRPr="00D85672">
        <w:rPr>
          <w:rFonts w:eastAsia="Times New Roman" w:cs="Arial"/>
          <w:sz w:val="21"/>
          <w:szCs w:val="21"/>
          <w:lang w:eastAsia="en-US" w:bidi="ar-SA"/>
        </w:rPr>
        <w:t>Le indicazioni contenute nell'Aggiornamento sono orientate a fornire supporto agli enti interessati, al fine di presidiare l’area dei contratti pubblici con misure di prevenzione della corruzione e per la promozione della trasparenza che possano costituire una risposta efficace e calibrata rispetto ai rischi corruttivi che possono rilevarsi in tale settore pubblico.</w:t>
      </w:r>
    </w:p>
    <w:p w14:paraId="1BA4928E" w14:textId="77777777" w:rsidR="00D85672" w:rsidRPr="00D85672" w:rsidRDefault="00D85672" w:rsidP="00D85672">
      <w:pPr>
        <w:spacing w:line="360" w:lineRule="auto"/>
        <w:ind w:left="851" w:right="497"/>
        <w:jc w:val="both"/>
        <w:rPr>
          <w:rFonts w:eastAsia="Times New Roman" w:cs="Arial"/>
          <w:sz w:val="21"/>
          <w:szCs w:val="21"/>
          <w:lang w:eastAsia="en-US" w:bidi="ar-SA"/>
        </w:rPr>
      </w:pPr>
      <w:r w:rsidRPr="00D85672">
        <w:rPr>
          <w:rFonts w:eastAsia="Times New Roman" w:cs="Arial"/>
          <w:sz w:val="21"/>
          <w:szCs w:val="21"/>
          <w:lang w:eastAsia="en-US" w:bidi="ar-SA"/>
        </w:rPr>
        <w:t>Gli ambiti di intervento dell'Aggiornamento al PNA 2022 sono, pertanto, circoscritti alla sola parte speciale del PNA 2022, con riferimento all’area dei contratti pubblici al fine di adeguare i contenuti dei rischi e delle misure di prevenzione della corruzione e per la trasparenza ad alcune disposizioni del nuovo Codice appalti. In particolare, ci si riferisce:</w:t>
      </w:r>
    </w:p>
    <w:p w14:paraId="13972210" w14:textId="773A3AE9" w:rsidR="00D85672" w:rsidRPr="00D85672" w:rsidRDefault="00D85672" w:rsidP="00D85672">
      <w:pPr>
        <w:spacing w:line="360" w:lineRule="auto"/>
        <w:ind w:left="851" w:right="497"/>
        <w:jc w:val="both"/>
        <w:rPr>
          <w:rFonts w:eastAsia="Times New Roman" w:cs="Arial"/>
          <w:sz w:val="21"/>
          <w:szCs w:val="21"/>
          <w:lang w:eastAsia="en-US" w:bidi="ar-SA"/>
        </w:rPr>
      </w:pPr>
      <w:r w:rsidRPr="00D85672">
        <w:rPr>
          <w:rFonts w:eastAsia="Times New Roman" w:cs="Arial"/>
          <w:sz w:val="21"/>
          <w:szCs w:val="21"/>
          <w:lang w:eastAsia="en-US" w:bidi="ar-SA"/>
        </w:rPr>
        <w:t>- alla sezione dedicata alla schematizzazione dei rischi di corruzione e di</w:t>
      </w:r>
      <w:r w:rsidR="00F72258">
        <w:rPr>
          <w:rFonts w:eastAsia="Times New Roman" w:cs="Arial"/>
          <w:sz w:val="21"/>
          <w:szCs w:val="21"/>
          <w:lang w:eastAsia="en-US" w:bidi="ar-SA"/>
        </w:rPr>
        <w:t xml:space="preserve"> </w:t>
      </w:r>
      <w:proofErr w:type="spellStart"/>
      <w:r w:rsidRPr="00F72258">
        <w:rPr>
          <w:rFonts w:eastAsia="Times New Roman" w:cs="Arial"/>
          <w:i/>
          <w:iCs/>
          <w:sz w:val="21"/>
          <w:szCs w:val="21"/>
          <w:lang w:eastAsia="en-US" w:bidi="ar-SA"/>
        </w:rPr>
        <w:t>maladministration</w:t>
      </w:r>
      <w:proofErr w:type="spellEnd"/>
      <w:r w:rsidR="00F72258">
        <w:rPr>
          <w:rFonts w:eastAsia="Times New Roman" w:cs="Arial"/>
          <w:sz w:val="21"/>
          <w:szCs w:val="21"/>
          <w:lang w:eastAsia="en-US" w:bidi="ar-SA"/>
        </w:rPr>
        <w:t xml:space="preserve"> </w:t>
      </w:r>
      <w:r w:rsidRPr="00D85672">
        <w:rPr>
          <w:rFonts w:eastAsia="Times New Roman" w:cs="Arial"/>
          <w:sz w:val="21"/>
          <w:szCs w:val="21"/>
          <w:lang w:eastAsia="en-US" w:bidi="ar-SA"/>
        </w:rPr>
        <w:t>e alle relative misure di contenimento, intervenendo solo laddove alcuni rischi e misure previamente indicati, in via esemplificativa, non trovino più adeguato fondamento nelle nuove disposizioni;</w:t>
      </w:r>
    </w:p>
    <w:p w14:paraId="28027670" w14:textId="77777777" w:rsidR="00D85672" w:rsidRPr="00D85672" w:rsidRDefault="00D85672" w:rsidP="00D85672">
      <w:pPr>
        <w:spacing w:line="360" w:lineRule="auto"/>
        <w:ind w:left="851" w:right="497"/>
        <w:jc w:val="both"/>
        <w:rPr>
          <w:rFonts w:eastAsia="Times New Roman" w:cs="Arial"/>
          <w:sz w:val="21"/>
          <w:szCs w:val="21"/>
          <w:lang w:eastAsia="en-US" w:bidi="ar-SA"/>
        </w:rPr>
      </w:pPr>
      <w:r w:rsidRPr="00D85672">
        <w:rPr>
          <w:rFonts w:eastAsia="Times New Roman" w:cs="Arial"/>
          <w:sz w:val="21"/>
          <w:szCs w:val="21"/>
          <w:lang w:eastAsia="en-US" w:bidi="ar-SA"/>
        </w:rPr>
        <w:t>- alla disciplina transitoria applicabile in materia di trasparenza amministrativa alla luce delle nuove disposizioni sulla digitalizzazione del sistema degli appalti e dei regolamenti adottati dall’ANAC, in particolare ai sensi degli artt. 23, comma 5, e 28, comma 4, del </w:t>
      </w:r>
      <w:bookmarkStart w:id="5" w:name="1"/>
      <w:r w:rsidRPr="00D85672">
        <w:rPr>
          <w:rFonts w:eastAsia="Times New Roman" w:cs="Arial"/>
          <w:sz w:val="21"/>
          <w:szCs w:val="21"/>
          <w:lang w:eastAsia="en-US" w:bidi="ar-SA"/>
        </w:rPr>
        <w:fldChar w:fldCharType="begin"/>
      </w:r>
      <w:r w:rsidRPr="00D85672">
        <w:rPr>
          <w:rFonts w:eastAsia="Times New Roman" w:cs="Arial"/>
          <w:sz w:val="21"/>
          <w:szCs w:val="21"/>
          <w:lang w:eastAsia="en-US" w:bidi="ar-SA"/>
        </w:rPr>
        <w:instrText>HYPERLINK "https://www.legislazionetecnica.it/lt_link/normativa/RExHMzYyMDIz"</w:instrText>
      </w:r>
      <w:r w:rsidRPr="00D85672">
        <w:rPr>
          <w:rFonts w:eastAsia="Times New Roman" w:cs="Arial"/>
          <w:sz w:val="21"/>
          <w:szCs w:val="21"/>
          <w:lang w:eastAsia="en-US" w:bidi="ar-SA"/>
        </w:rPr>
      </w:r>
      <w:r w:rsidRPr="00D85672">
        <w:rPr>
          <w:rFonts w:eastAsia="Times New Roman" w:cs="Arial"/>
          <w:sz w:val="21"/>
          <w:szCs w:val="21"/>
          <w:lang w:eastAsia="en-US" w:bidi="ar-SA"/>
        </w:rPr>
        <w:fldChar w:fldCharType="separate"/>
      </w:r>
      <w:r w:rsidRPr="00D85672">
        <w:rPr>
          <w:rStyle w:val="Collegamentoipertestuale"/>
          <w:rFonts w:eastAsia="Times New Roman" w:cs="Arial"/>
          <w:sz w:val="21"/>
          <w:szCs w:val="21"/>
          <w:lang w:eastAsia="en-US" w:bidi="ar-SA"/>
        </w:rPr>
        <w:t xml:space="preserve">D. </w:t>
      </w:r>
      <w:proofErr w:type="spellStart"/>
      <w:r w:rsidRPr="00D85672">
        <w:rPr>
          <w:rStyle w:val="Collegamentoipertestuale"/>
          <w:rFonts w:eastAsia="Times New Roman" w:cs="Arial"/>
          <w:sz w:val="21"/>
          <w:szCs w:val="21"/>
          <w:lang w:eastAsia="en-US" w:bidi="ar-SA"/>
        </w:rPr>
        <w:t>Leg.vo</w:t>
      </w:r>
      <w:proofErr w:type="spellEnd"/>
      <w:r w:rsidRPr="00D85672">
        <w:rPr>
          <w:rStyle w:val="Collegamentoipertestuale"/>
          <w:rFonts w:eastAsia="Times New Roman" w:cs="Arial"/>
          <w:sz w:val="21"/>
          <w:szCs w:val="21"/>
          <w:lang w:eastAsia="en-US" w:bidi="ar-SA"/>
        </w:rPr>
        <w:t xml:space="preserve"> 36/2023</w:t>
      </w:r>
      <w:r w:rsidRPr="00D85672">
        <w:rPr>
          <w:rFonts w:eastAsia="Times New Roman" w:cs="Arial"/>
          <w:sz w:val="21"/>
          <w:szCs w:val="21"/>
          <w:lang w:eastAsia="en-US" w:bidi="ar-SA"/>
        </w:rPr>
        <w:fldChar w:fldCharType="end"/>
      </w:r>
      <w:bookmarkEnd w:id="5"/>
      <w:r w:rsidRPr="00D85672">
        <w:rPr>
          <w:rFonts w:eastAsia="Times New Roman" w:cs="Arial"/>
          <w:sz w:val="21"/>
          <w:szCs w:val="21"/>
          <w:lang w:eastAsia="en-US" w:bidi="ar-SA"/>
        </w:rPr>
        <w:t xml:space="preserve"> (</w:t>
      </w:r>
      <w:bookmarkStart w:id="6" w:name="2"/>
      <w:proofErr w:type="spellStart"/>
      <w:r w:rsidRPr="00D85672">
        <w:rPr>
          <w:rFonts w:eastAsia="Times New Roman" w:cs="Arial"/>
          <w:sz w:val="21"/>
          <w:szCs w:val="21"/>
          <w:lang w:eastAsia="en-US" w:bidi="ar-SA"/>
        </w:rPr>
        <w:fldChar w:fldCharType="begin"/>
      </w:r>
      <w:r w:rsidRPr="00D85672">
        <w:rPr>
          <w:rFonts w:eastAsia="Times New Roman" w:cs="Arial"/>
          <w:sz w:val="21"/>
          <w:szCs w:val="21"/>
          <w:lang w:eastAsia="en-US" w:bidi="ar-SA"/>
        </w:rPr>
        <w:instrText>HYPERLINK "https://www.legislazionetecnica.it/lt_link/normativa/REJBTkFDMjBHMjAyMzI2MQ=="</w:instrText>
      </w:r>
      <w:r w:rsidRPr="00D85672">
        <w:rPr>
          <w:rFonts w:eastAsia="Times New Roman" w:cs="Arial"/>
          <w:sz w:val="21"/>
          <w:szCs w:val="21"/>
          <w:lang w:eastAsia="en-US" w:bidi="ar-SA"/>
        </w:rPr>
      </w:r>
      <w:r w:rsidRPr="00D85672">
        <w:rPr>
          <w:rFonts w:eastAsia="Times New Roman" w:cs="Arial"/>
          <w:sz w:val="21"/>
          <w:szCs w:val="21"/>
          <w:lang w:eastAsia="en-US" w:bidi="ar-SA"/>
        </w:rPr>
        <w:fldChar w:fldCharType="separate"/>
      </w:r>
      <w:r w:rsidRPr="00D85672">
        <w:rPr>
          <w:rStyle w:val="Collegamentoipertestuale"/>
          <w:rFonts w:eastAsia="Times New Roman" w:cs="Arial"/>
          <w:sz w:val="21"/>
          <w:szCs w:val="21"/>
          <w:lang w:eastAsia="en-US" w:bidi="ar-SA"/>
        </w:rPr>
        <w:t>Delib</w:t>
      </w:r>
      <w:proofErr w:type="spellEnd"/>
      <w:r w:rsidRPr="00D85672">
        <w:rPr>
          <w:rStyle w:val="Collegamentoipertestuale"/>
          <w:rFonts w:eastAsia="Times New Roman" w:cs="Arial"/>
          <w:sz w:val="21"/>
          <w:szCs w:val="21"/>
          <w:lang w:eastAsia="en-US" w:bidi="ar-SA"/>
        </w:rPr>
        <w:t>. ANAC 20/06/2023, n. 261</w:t>
      </w:r>
      <w:r w:rsidRPr="00D85672">
        <w:rPr>
          <w:rFonts w:eastAsia="Times New Roman" w:cs="Arial"/>
          <w:sz w:val="21"/>
          <w:szCs w:val="21"/>
          <w:lang w:eastAsia="en-US" w:bidi="ar-SA"/>
        </w:rPr>
        <w:fldChar w:fldCharType="end"/>
      </w:r>
      <w:bookmarkEnd w:id="6"/>
      <w:r w:rsidRPr="00D85672">
        <w:rPr>
          <w:rFonts w:eastAsia="Times New Roman" w:cs="Arial"/>
          <w:sz w:val="21"/>
          <w:szCs w:val="21"/>
          <w:lang w:eastAsia="en-US" w:bidi="ar-SA"/>
        </w:rPr>
        <w:t xml:space="preserve"> e</w:t>
      </w:r>
      <w:bookmarkStart w:id="7" w:name="3"/>
      <w:r w:rsidRPr="00D85672">
        <w:rPr>
          <w:rFonts w:eastAsia="Times New Roman" w:cs="Arial"/>
          <w:sz w:val="21"/>
          <w:szCs w:val="21"/>
          <w:lang w:eastAsia="en-US" w:bidi="ar-SA"/>
        </w:rPr>
        <w:t xml:space="preserve"> </w:t>
      </w:r>
      <w:hyperlink r:id="rId10" w:history="1">
        <w:proofErr w:type="spellStart"/>
        <w:r w:rsidRPr="00D85672">
          <w:rPr>
            <w:rStyle w:val="Collegamentoipertestuale"/>
            <w:rFonts w:eastAsia="Times New Roman" w:cs="Arial"/>
            <w:sz w:val="21"/>
            <w:szCs w:val="21"/>
            <w:lang w:eastAsia="en-US" w:bidi="ar-SA"/>
          </w:rPr>
          <w:t>Delib</w:t>
        </w:r>
        <w:proofErr w:type="spellEnd"/>
        <w:r w:rsidRPr="00D85672">
          <w:rPr>
            <w:rStyle w:val="Collegamentoipertestuale"/>
            <w:rFonts w:eastAsia="Times New Roman" w:cs="Arial"/>
            <w:sz w:val="21"/>
            <w:szCs w:val="21"/>
            <w:lang w:eastAsia="en-US" w:bidi="ar-SA"/>
          </w:rPr>
          <w:t>. ANAC 20/06/2023, n. 264</w:t>
        </w:r>
      </w:hyperlink>
      <w:bookmarkEnd w:id="7"/>
      <w:r w:rsidRPr="00D85672">
        <w:rPr>
          <w:rFonts w:eastAsia="Times New Roman" w:cs="Arial"/>
          <w:sz w:val="21"/>
          <w:szCs w:val="21"/>
          <w:lang w:eastAsia="en-US" w:bidi="ar-SA"/>
        </w:rPr>
        <w:t>).</w:t>
      </w:r>
    </w:p>
    <w:p w14:paraId="01866A21" w14:textId="77777777" w:rsidR="00D85672" w:rsidRPr="00D85672" w:rsidRDefault="00D85672" w:rsidP="00D85672">
      <w:pPr>
        <w:spacing w:line="360" w:lineRule="auto"/>
        <w:ind w:left="851" w:right="497"/>
        <w:jc w:val="both"/>
        <w:rPr>
          <w:rFonts w:eastAsia="Times New Roman" w:cs="Arial"/>
          <w:sz w:val="21"/>
          <w:szCs w:val="21"/>
          <w:lang w:eastAsia="en-US" w:bidi="ar-SA"/>
        </w:rPr>
      </w:pPr>
      <w:r w:rsidRPr="00D85672">
        <w:rPr>
          <w:rFonts w:eastAsia="Times New Roman" w:cs="Arial"/>
          <w:sz w:val="21"/>
          <w:szCs w:val="21"/>
          <w:lang w:eastAsia="en-US" w:bidi="ar-SA"/>
        </w:rPr>
        <w:t>In particolare l’Autorità ha precisato quanto di seguito:</w:t>
      </w:r>
    </w:p>
    <w:p w14:paraId="1CA21363" w14:textId="77777777" w:rsidR="00D85672" w:rsidRPr="00D85672" w:rsidRDefault="00D85672" w:rsidP="00D85672">
      <w:pPr>
        <w:numPr>
          <w:ilvl w:val="0"/>
          <w:numId w:val="41"/>
        </w:numPr>
        <w:spacing w:line="360" w:lineRule="auto"/>
        <w:ind w:left="851" w:right="497" w:firstLine="0"/>
        <w:jc w:val="both"/>
        <w:rPr>
          <w:rFonts w:eastAsia="Times New Roman" w:cs="Arial"/>
          <w:sz w:val="21"/>
          <w:szCs w:val="21"/>
          <w:lang w:eastAsia="en-US" w:bidi="ar-SA"/>
        </w:rPr>
      </w:pPr>
      <w:r w:rsidRPr="00D85672">
        <w:rPr>
          <w:rFonts w:eastAsia="Times New Roman" w:cs="Arial"/>
          <w:sz w:val="21"/>
          <w:szCs w:val="21"/>
          <w:lang w:eastAsia="en-US" w:bidi="ar-SA"/>
        </w:rPr>
        <w:t xml:space="preserve">quanto agli allegati, è stata confermata la vigenza dei seguenti documenti: - All. 1 Parte generale check-list PTPCT e PIAO - All. 2 Parte generale sottosezione trasparenza PIAO PTPCT </w:t>
      </w:r>
      <w:r w:rsidRPr="00D85672">
        <w:rPr>
          <w:rFonts w:eastAsia="Times New Roman" w:cs="Arial"/>
          <w:sz w:val="21"/>
          <w:szCs w:val="21"/>
          <w:lang w:eastAsia="en-US" w:bidi="ar-SA"/>
        </w:rPr>
        <w:lastRenderedPageBreak/>
        <w:t>- All. 3 Parte generale RPCT e struttura supporto - All. 4 Parte generale Ricognizione delle semplificazioni vigenti - All. 9 Parte speciale Obblighi trasparenza contratti (fino al 31.12.2023) - All. 10 Parte Speciale Commissari straordinari modifiche - All. 11 Parte Speciale Analisi dei dati piattaforma PTPCT;</w:t>
      </w:r>
    </w:p>
    <w:p w14:paraId="10CE7491" w14:textId="77777777" w:rsidR="00D85672" w:rsidRPr="00D85672" w:rsidRDefault="00D85672" w:rsidP="00D85672">
      <w:pPr>
        <w:numPr>
          <w:ilvl w:val="0"/>
          <w:numId w:val="41"/>
        </w:numPr>
        <w:spacing w:line="360" w:lineRule="auto"/>
        <w:ind w:left="851" w:right="497" w:firstLine="0"/>
        <w:jc w:val="both"/>
        <w:rPr>
          <w:rFonts w:eastAsia="Times New Roman" w:cs="Arial"/>
          <w:sz w:val="21"/>
          <w:szCs w:val="21"/>
          <w:lang w:eastAsia="en-US" w:bidi="ar-SA"/>
        </w:rPr>
      </w:pPr>
      <w:r w:rsidRPr="00D85672">
        <w:rPr>
          <w:rFonts w:eastAsia="Times New Roman" w:cs="Arial"/>
          <w:sz w:val="21"/>
          <w:szCs w:val="21"/>
          <w:lang w:eastAsia="en-US" w:bidi="ar-SA"/>
        </w:rPr>
        <w:t>non sono più in vigore i seguenti allegati: - All. n°5 Indice ragionato delle deroghe e delle modifiche alla disciplina dei contratti pubblici - All. n°6 Appendice normativa sul regime derogatorio dei contratti pubblici - All. n°7 Contenuti del Bando tipo 1/2021 - All. n°8 Check-list appalti.</w:t>
      </w:r>
    </w:p>
    <w:p w14:paraId="00D1D9BC" w14:textId="73FB2942" w:rsidR="0047595E" w:rsidRPr="0047595E" w:rsidRDefault="0047595E" w:rsidP="0047595E">
      <w:pPr>
        <w:pStyle w:val="Corpotesto"/>
        <w:ind w:left="851"/>
      </w:pPr>
    </w:p>
    <w:p w14:paraId="37A6AD4B" w14:textId="519CDA77" w:rsidR="006C088F" w:rsidRPr="006C088F" w:rsidRDefault="002E1F5D" w:rsidP="002034D7">
      <w:pPr>
        <w:pStyle w:val="Titolo1"/>
        <w:spacing w:line="360" w:lineRule="auto"/>
      </w:pPr>
      <w:bookmarkStart w:id="8" w:name="_Toc220506550"/>
      <w:r>
        <w:rPr>
          <w:smallCaps/>
        </w:rPr>
        <w:t xml:space="preserve">3. </w:t>
      </w:r>
      <w:r w:rsidR="006C088F" w:rsidRPr="00671649">
        <w:rPr>
          <w:smallCaps/>
        </w:rPr>
        <w:t>adozione del presente PTPC</w:t>
      </w:r>
      <w:r w:rsidR="004A6456">
        <w:rPr>
          <w:smallCaps/>
        </w:rPr>
        <w:t>T</w:t>
      </w:r>
      <w:bookmarkEnd w:id="8"/>
    </w:p>
    <w:p w14:paraId="1052E500" w14:textId="765B0BC1" w:rsidR="006C088F" w:rsidRPr="006C088F" w:rsidRDefault="006C088F" w:rsidP="002034D7">
      <w:pPr>
        <w:spacing w:before="199" w:line="360" w:lineRule="auto"/>
        <w:ind w:left="851" w:right="811"/>
        <w:jc w:val="both"/>
        <w:rPr>
          <w:sz w:val="21"/>
        </w:rPr>
      </w:pPr>
      <w:r w:rsidRPr="006C088F">
        <w:rPr>
          <w:sz w:val="21"/>
        </w:rPr>
        <w:t>Il presente PT</w:t>
      </w:r>
      <w:r w:rsidR="004A6456">
        <w:rPr>
          <w:sz w:val="21"/>
        </w:rPr>
        <w:t>P</w:t>
      </w:r>
      <w:r w:rsidRPr="006C088F">
        <w:rPr>
          <w:sz w:val="21"/>
        </w:rPr>
        <w:t>CT 20</w:t>
      </w:r>
      <w:r w:rsidR="00F72258">
        <w:rPr>
          <w:sz w:val="21"/>
        </w:rPr>
        <w:t>2</w:t>
      </w:r>
      <w:r w:rsidR="00623BE7">
        <w:rPr>
          <w:sz w:val="21"/>
        </w:rPr>
        <w:t>6</w:t>
      </w:r>
      <w:r w:rsidRPr="006C088F">
        <w:rPr>
          <w:sz w:val="21"/>
        </w:rPr>
        <w:t>-202</w:t>
      </w:r>
      <w:r w:rsidR="00623BE7">
        <w:rPr>
          <w:sz w:val="21"/>
        </w:rPr>
        <w:t>8</w:t>
      </w:r>
      <w:r w:rsidRPr="006C088F">
        <w:rPr>
          <w:sz w:val="21"/>
        </w:rPr>
        <w:t xml:space="preserve"> è stato redatto tenendo in debito conto la normativa di riferimento e in particolare, per quanto concerne i documenti interpretativi della stessa</w:t>
      </w:r>
      <w:r>
        <w:rPr>
          <w:sz w:val="21"/>
        </w:rPr>
        <w:t>, si fonda sui seguenti documenti</w:t>
      </w:r>
      <w:r w:rsidRPr="006C088F">
        <w:rPr>
          <w:sz w:val="21"/>
        </w:rPr>
        <w:t>:</w:t>
      </w:r>
    </w:p>
    <w:p w14:paraId="5727E0CE" w14:textId="78E768E4" w:rsidR="006C088F" w:rsidRPr="006C088F" w:rsidRDefault="006C088F" w:rsidP="002034D7">
      <w:pPr>
        <w:spacing w:before="199" w:line="360" w:lineRule="auto"/>
        <w:ind w:left="851" w:right="811"/>
        <w:jc w:val="both"/>
        <w:rPr>
          <w:sz w:val="21"/>
        </w:rPr>
      </w:pPr>
      <w:r w:rsidRPr="006C088F">
        <w:rPr>
          <w:sz w:val="21"/>
        </w:rPr>
        <w:t>a)</w:t>
      </w:r>
      <w:r w:rsidRPr="006C088F">
        <w:rPr>
          <w:sz w:val="21"/>
        </w:rPr>
        <w:tab/>
        <w:t>i contenuti della determina ANAC 1134/2017;</w:t>
      </w:r>
    </w:p>
    <w:p w14:paraId="2FE81455" w14:textId="4FFF2284" w:rsidR="006C088F" w:rsidRDefault="006C088F" w:rsidP="002034D7">
      <w:pPr>
        <w:spacing w:before="199" w:line="360" w:lineRule="auto"/>
        <w:ind w:left="851" w:right="811"/>
        <w:jc w:val="both"/>
        <w:rPr>
          <w:sz w:val="21"/>
        </w:rPr>
      </w:pPr>
      <w:r w:rsidRPr="006C088F">
        <w:rPr>
          <w:sz w:val="21"/>
        </w:rPr>
        <w:t>b)</w:t>
      </w:r>
      <w:r w:rsidRPr="006C088F">
        <w:rPr>
          <w:sz w:val="21"/>
        </w:rPr>
        <w:tab/>
        <w:t>il PNA 201</w:t>
      </w:r>
      <w:r w:rsidR="00E24316">
        <w:rPr>
          <w:sz w:val="21"/>
        </w:rPr>
        <w:t>9</w:t>
      </w:r>
      <w:r w:rsidR="00C5172C">
        <w:rPr>
          <w:sz w:val="21"/>
        </w:rPr>
        <w:t xml:space="preserve"> e </w:t>
      </w:r>
      <w:r w:rsidR="00F72258">
        <w:rPr>
          <w:sz w:val="21"/>
        </w:rPr>
        <w:t xml:space="preserve">gli aggiornamenti al </w:t>
      </w:r>
      <w:r w:rsidR="00C5172C">
        <w:rPr>
          <w:sz w:val="21"/>
        </w:rPr>
        <w:t>2022</w:t>
      </w:r>
      <w:r w:rsidR="00623BE7">
        <w:rPr>
          <w:sz w:val="21"/>
        </w:rPr>
        <w:t>,</w:t>
      </w:r>
      <w:r w:rsidR="00F72258">
        <w:rPr>
          <w:sz w:val="21"/>
        </w:rPr>
        <w:t xml:space="preserve"> 2023</w:t>
      </w:r>
      <w:r w:rsidR="00623BE7">
        <w:rPr>
          <w:sz w:val="21"/>
        </w:rPr>
        <w:t>, 2024</w:t>
      </w:r>
      <w:r w:rsidR="00D85672">
        <w:rPr>
          <w:sz w:val="21"/>
        </w:rPr>
        <w:t>;</w:t>
      </w:r>
    </w:p>
    <w:p w14:paraId="62882D5A" w14:textId="5734EDF8" w:rsidR="00D85672" w:rsidRDefault="00D85672" w:rsidP="002034D7">
      <w:pPr>
        <w:spacing w:before="199" w:line="360" w:lineRule="auto"/>
        <w:ind w:left="851" w:right="811"/>
        <w:jc w:val="both"/>
        <w:rPr>
          <w:sz w:val="21"/>
        </w:rPr>
      </w:pPr>
      <w:r>
        <w:rPr>
          <w:sz w:val="21"/>
        </w:rPr>
        <w:t>c)</w:t>
      </w:r>
      <w:r>
        <w:rPr>
          <w:sz w:val="21"/>
        </w:rPr>
        <w:tab/>
        <w:t>Il PNA 202</w:t>
      </w:r>
      <w:r w:rsidR="00623BE7">
        <w:rPr>
          <w:sz w:val="21"/>
        </w:rPr>
        <w:t>5</w:t>
      </w:r>
      <w:r>
        <w:rPr>
          <w:sz w:val="21"/>
        </w:rPr>
        <w:t xml:space="preserve"> in consultazione.</w:t>
      </w:r>
    </w:p>
    <w:p w14:paraId="6EA28BB4" w14:textId="3632D0D8" w:rsidR="00C22298" w:rsidRPr="006C088F" w:rsidRDefault="00C22298" w:rsidP="002034D7">
      <w:pPr>
        <w:spacing w:before="199" w:line="360" w:lineRule="auto"/>
        <w:ind w:left="851" w:right="811"/>
        <w:jc w:val="both"/>
        <w:rPr>
          <w:sz w:val="21"/>
        </w:rPr>
      </w:pPr>
      <w:r w:rsidRPr="00C22298">
        <w:rPr>
          <w:sz w:val="21"/>
        </w:rPr>
        <w:t>Le indicazioni fornite con il PNA 2019 risultano confermate nel documento approvato dal Consiglio dell’Autorità in data 2 febbraio “</w:t>
      </w:r>
      <w:r w:rsidRPr="00C22298">
        <w:rPr>
          <w:i/>
          <w:iCs/>
          <w:sz w:val="21"/>
        </w:rPr>
        <w:t>Orientamenti per la Pianificazione Anticorruzione e Trasparenza 2022</w:t>
      </w:r>
      <w:r w:rsidRPr="00C22298">
        <w:rPr>
          <w:sz w:val="21"/>
        </w:rPr>
        <w:t>” con cui l’Autorità ha fornito alcune “</w:t>
      </w:r>
      <w:r w:rsidRPr="00C22298">
        <w:rPr>
          <w:i/>
          <w:iCs/>
          <w:sz w:val="21"/>
        </w:rPr>
        <w:t>indicazioni operative per la predisposizione del Piano (o della sezione di Piano) anticorruzione e trasparenza, elaborate a seguito di una significativa analisi della attività di pianificazione finora svolta dalle amministrazioni, che ha consentito all’ANAC, quale osservatore privilegiato, di cogliere i maggiori margini di ottimizzazione e semplificazione da evidenziare agli operatori coinvolti per stilare un documento più performante</w:t>
      </w:r>
      <w:r w:rsidRPr="00C22298">
        <w:rPr>
          <w:sz w:val="21"/>
        </w:rPr>
        <w:t>”</w:t>
      </w:r>
      <w:r>
        <w:rPr>
          <w:sz w:val="21"/>
        </w:rPr>
        <w:t>, confermando al contempo i criteri in precedenza enucleati</w:t>
      </w:r>
      <w:r w:rsidR="00C5172C">
        <w:rPr>
          <w:sz w:val="21"/>
        </w:rPr>
        <w:t xml:space="preserve"> e nel PNA 2022</w:t>
      </w:r>
    </w:p>
    <w:p w14:paraId="7560BE04" w14:textId="4DFE82C0" w:rsidR="006C088F" w:rsidRPr="006C088F" w:rsidRDefault="006C088F" w:rsidP="002034D7">
      <w:pPr>
        <w:spacing w:before="199" w:line="360" w:lineRule="auto"/>
        <w:ind w:left="851" w:right="811"/>
        <w:jc w:val="both"/>
        <w:rPr>
          <w:sz w:val="21"/>
        </w:rPr>
      </w:pPr>
      <w:r w:rsidRPr="006C088F">
        <w:rPr>
          <w:sz w:val="21"/>
        </w:rPr>
        <w:t xml:space="preserve">Il </w:t>
      </w:r>
      <w:r w:rsidR="00C5172C">
        <w:rPr>
          <w:sz w:val="21"/>
        </w:rPr>
        <w:t>PTPCT</w:t>
      </w:r>
      <w:r w:rsidRPr="006C088F">
        <w:rPr>
          <w:sz w:val="21"/>
        </w:rPr>
        <w:t xml:space="preserve">: </w:t>
      </w:r>
    </w:p>
    <w:p w14:paraId="1B66A80D" w14:textId="32D4B929" w:rsidR="006C088F" w:rsidRPr="006C088F" w:rsidRDefault="006C088F" w:rsidP="002034D7">
      <w:pPr>
        <w:spacing w:before="199" w:line="360" w:lineRule="auto"/>
        <w:ind w:left="851" w:right="811"/>
        <w:jc w:val="both"/>
        <w:rPr>
          <w:sz w:val="21"/>
        </w:rPr>
      </w:pPr>
      <w:r w:rsidRPr="006C088F">
        <w:rPr>
          <w:sz w:val="21"/>
        </w:rPr>
        <w:t>(i)</w:t>
      </w:r>
      <w:r w:rsidRPr="006C088F">
        <w:rPr>
          <w:sz w:val="21"/>
        </w:rPr>
        <w:tab/>
        <w:t xml:space="preserve">è stato elaborato dal Responsabile della prevenzione della corruzione e per l’Integrità e la Trasparenza </w:t>
      </w:r>
      <w:r w:rsidR="00C5172C">
        <w:rPr>
          <w:sz w:val="21"/>
        </w:rPr>
        <w:t xml:space="preserve">in coordinamento con </w:t>
      </w:r>
      <w:r w:rsidRPr="006C088F">
        <w:rPr>
          <w:sz w:val="21"/>
        </w:rPr>
        <w:t xml:space="preserve">l’Organismo di Vigilanza </w:t>
      </w:r>
      <w:r w:rsidR="00C5172C">
        <w:rPr>
          <w:sz w:val="21"/>
        </w:rPr>
        <w:t>per le aree di comune in</w:t>
      </w:r>
      <w:r w:rsidR="00A26C74">
        <w:rPr>
          <w:sz w:val="21"/>
        </w:rPr>
        <w:t xml:space="preserve">teresse </w:t>
      </w:r>
      <w:r w:rsidRPr="006C088F">
        <w:rPr>
          <w:sz w:val="21"/>
        </w:rPr>
        <w:t>(come previsto da Anac in determina 1134/2017: «</w:t>
      </w:r>
      <w:r w:rsidRPr="006C088F">
        <w:rPr>
          <w:i/>
          <w:sz w:val="21"/>
        </w:rPr>
        <w:t>le misure volte alla prevenzione della corruzione ex lege n.190 del 2012 sono elaborate dal Responsabile della prevenzione della corruzione in stretto coordinamento con l’Organismo di vigilanza</w:t>
      </w:r>
      <w:r w:rsidRPr="006C088F">
        <w:rPr>
          <w:sz w:val="21"/>
        </w:rPr>
        <w:t>» (pag.22 Determina 1134);</w:t>
      </w:r>
    </w:p>
    <w:p w14:paraId="4C49B34B" w14:textId="3D672D04" w:rsidR="006C088F" w:rsidRPr="006C088F" w:rsidRDefault="006C088F" w:rsidP="002034D7">
      <w:pPr>
        <w:spacing w:before="199" w:line="360" w:lineRule="auto"/>
        <w:ind w:left="851" w:right="811"/>
        <w:jc w:val="both"/>
        <w:rPr>
          <w:sz w:val="21"/>
        </w:rPr>
      </w:pPr>
      <w:r>
        <w:rPr>
          <w:sz w:val="21"/>
        </w:rPr>
        <w:lastRenderedPageBreak/>
        <w:t>(ii)</w:t>
      </w:r>
      <w:r>
        <w:rPr>
          <w:sz w:val="21"/>
        </w:rPr>
        <w:tab/>
      </w:r>
      <w:r w:rsidRPr="006C088F">
        <w:rPr>
          <w:sz w:val="21"/>
        </w:rPr>
        <w:t xml:space="preserve">è oggetto di adozione e approvazione dall’organo di indirizzo della società, individuato nel </w:t>
      </w:r>
      <w:r>
        <w:rPr>
          <w:sz w:val="21"/>
        </w:rPr>
        <w:t>Commissario Straordinario e nell’Amministratore Unico, rispettivamente di ASP e EBS</w:t>
      </w:r>
      <w:r w:rsidR="00A26C74">
        <w:rPr>
          <w:sz w:val="21"/>
        </w:rPr>
        <w:t>, nel rispetto del principio del cd. “doppio passaggio”</w:t>
      </w:r>
      <w:r w:rsidR="002F2DA9">
        <w:rPr>
          <w:sz w:val="21"/>
        </w:rPr>
        <w:t>;</w:t>
      </w:r>
    </w:p>
    <w:p w14:paraId="42702368" w14:textId="77777777" w:rsidR="006C088F" w:rsidRDefault="006C088F" w:rsidP="002034D7">
      <w:pPr>
        <w:spacing w:before="199" w:line="360" w:lineRule="auto"/>
        <w:ind w:left="851" w:right="811"/>
        <w:jc w:val="both"/>
        <w:rPr>
          <w:sz w:val="21"/>
        </w:rPr>
      </w:pPr>
      <w:r w:rsidRPr="006C088F">
        <w:rPr>
          <w:sz w:val="21"/>
        </w:rPr>
        <w:t>(iii)</w:t>
      </w:r>
      <w:r w:rsidRPr="006C088F">
        <w:rPr>
          <w:sz w:val="21"/>
        </w:rPr>
        <w:tab/>
        <w:t xml:space="preserve"> una volta adottato, ad esso verrà data adeguata pubblicità sia all’interno società, sia all’esterno, con la pubblicazione sul sito web della società alla pagina “</w:t>
      </w:r>
      <w:r w:rsidRPr="006C088F">
        <w:rPr>
          <w:i/>
          <w:sz w:val="21"/>
        </w:rPr>
        <w:t>Società Trasparente</w:t>
      </w:r>
      <w:r w:rsidRPr="006C088F">
        <w:rPr>
          <w:sz w:val="21"/>
        </w:rPr>
        <w:t>”.</w:t>
      </w:r>
    </w:p>
    <w:p w14:paraId="7CBBBC0B" w14:textId="77777777" w:rsidR="00E24316" w:rsidRPr="00671649" w:rsidRDefault="00E24316" w:rsidP="002034D7">
      <w:pPr>
        <w:spacing w:line="360" w:lineRule="auto"/>
        <w:ind w:left="851"/>
        <w:rPr>
          <w:smallCaps/>
          <w:sz w:val="21"/>
        </w:rPr>
      </w:pPr>
    </w:p>
    <w:p w14:paraId="4929F3FF" w14:textId="551C010F" w:rsidR="0078795B" w:rsidRPr="00671649" w:rsidRDefault="00671649" w:rsidP="002034D7">
      <w:pPr>
        <w:pStyle w:val="Titolo1"/>
        <w:spacing w:line="360" w:lineRule="auto"/>
        <w:ind w:left="851" w:firstLine="21"/>
        <w:rPr>
          <w:smallCaps/>
        </w:rPr>
      </w:pPr>
      <w:bookmarkStart w:id="9" w:name="_Toc220506551"/>
      <w:r w:rsidRPr="00671649">
        <w:rPr>
          <w:smallCaps/>
        </w:rPr>
        <w:t xml:space="preserve">4. </w:t>
      </w:r>
      <w:r w:rsidR="0078795B" w:rsidRPr="00671649">
        <w:rPr>
          <w:smallCaps/>
        </w:rPr>
        <w:t xml:space="preserve">Struttura e </w:t>
      </w:r>
      <w:r>
        <w:rPr>
          <w:smallCaps/>
        </w:rPr>
        <w:t>F</w:t>
      </w:r>
      <w:r w:rsidR="0078795B" w:rsidRPr="00671649">
        <w:rPr>
          <w:smallCaps/>
        </w:rPr>
        <w:t>inalità del Piano 20</w:t>
      </w:r>
      <w:r w:rsidR="009B5FBB" w:rsidRPr="00671649">
        <w:rPr>
          <w:smallCaps/>
        </w:rPr>
        <w:t>2</w:t>
      </w:r>
      <w:r w:rsidR="00623BE7">
        <w:rPr>
          <w:smallCaps/>
        </w:rPr>
        <w:t>6</w:t>
      </w:r>
      <w:r w:rsidR="0078795B" w:rsidRPr="00671649">
        <w:rPr>
          <w:smallCaps/>
        </w:rPr>
        <w:t xml:space="preserve"> -202</w:t>
      </w:r>
      <w:r w:rsidR="00623BE7">
        <w:rPr>
          <w:smallCaps/>
        </w:rPr>
        <w:t>8</w:t>
      </w:r>
      <w:bookmarkEnd w:id="9"/>
    </w:p>
    <w:p w14:paraId="493D2B2A" w14:textId="77777777" w:rsidR="0078795B" w:rsidRPr="0078795B" w:rsidRDefault="0078795B" w:rsidP="002034D7">
      <w:pPr>
        <w:spacing w:before="199" w:line="360" w:lineRule="auto"/>
        <w:ind w:left="851" w:right="811"/>
        <w:jc w:val="both"/>
        <w:rPr>
          <w:sz w:val="21"/>
        </w:rPr>
      </w:pPr>
      <w:r w:rsidRPr="0078795B">
        <w:rPr>
          <w:sz w:val="21"/>
        </w:rPr>
        <w:t>L’Autorità Nazionale Anticorruzione ha affermato con determina 1134/2017 che «</w:t>
      </w:r>
      <w:r w:rsidRPr="0078795B">
        <w:rPr>
          <w:i/>
          <w:sz w:val="21"/>
        </w:rPr>
        <w:t>l’art. 41 del d.lgs. 97/2016, aggiungendo il comma 2 bis all’art. 1 della l. 190/2012, prevede che tanto le pubbliche amministrazioni quanto gli “altri soggetti di cui all’articolo 2-bis, comma 2, del d.lgs. n. 33 del 103” siano destinatari delle indicazioni contenute nel PNA (del quale è la legge stessa a definire la natura di atto di indirizzo), ma secondo un regime differenziato: mentre le prime sono tenute ad adottare un vero e proprio PTPC, i secondi devono adottare “misure integrative” di quelle adottate ai sensi del decreto legislativo 8 giugno 2001, n. 231» e che (§3.1.1 pag.22 determina 1134) «queste misure devono fare riferimento a tutte le attività svolte ed è necessario siano ricondotte in un documento unitario che tiene luogo del Piano di prevenzione della corruzione anche ai fini della valutazione dell’aggiornamento annuale e della vigilanza dell’ANAC. Se riunite in un unico documento con quelle adottate in attuazione del d.lgs. n. 231/2001, dette misure sono collocate in una sezione apposita e dunque chiaramente identificabili, tenuto conto che ad esse sono correlate forme di gestione e responsabilità differenti. È opportuno che tali misure esse siano costantemente monitorate anche al fine di valutare, almeno annualmente, la necessità del loro aggiornamento</w:t>
      </w:r>
      <w:r w:rsidRPr="0078795B">
        <w:rPr>
          <w:sz w:val="21"/>
        </w:rPr>
        <w:t xml:space="preserve"> (…)».</w:t>
      </w:r>
    </w:p>
    <w:p w14:paraId="308C65D7" w14:textId="34E8D53B" w:rsidR="0078795B" w:rsidRDefault="0078795B" w:rsidP="00623BE7">
      <w:pPr>
        <w:spacing w:before="199" w:line="360" w:lineRule="auto"/>
        <w:ind w:left="851" w:right="811"/>
        <w:jc w:val="both"/>
        <w:rPr>
          <w:sz w:val="21"/>
        </w:rPr>
      </w:pPr>
      <w:r w:rsidRPr="0078795B">
        <w:rPr>
          <w:sz w:val="21"/>
        </w:rPr>
        <w:t xml:space="preserve">RPCT, nella redazione </w:t>
      </w:r>
      <w:r w:rsidR="002E1F5D">
        <w:rPr>
          <w:sz w:val="21"/>
        </w:rPr>
        <w:t>dei previgenti</w:t>
      </w:r>
      <w:r w:rsidRPr="0078795B">
        <w:rPr>
          <w:sz w:val="21"/>
        </w:rPr>
        <w:t xml:space="preserve"> PT</w:t>
      </w:r>
      <w:r>
        <w:rPr>
          <w:sz w:val="21"/>
        </w:rPr>
        <w:t>P</w:t>
      </w:r>
      <w:r w:rsidRPr="0078795B">
        <w:rPr>
          <w:sz w:val="21"/>
        </w:rPr>
        <w:t>C, aveva conseguente valutato rispondente al dettato normativo e alle linee guida ANAC la opzione sino ad allora già attuata, ed in oggi reiterata, vale a dire di adottare un vero e proprio Piano Triennale per la Prevenzione della Corruzione (pur non essendovi la Società obbligata)</w:t>
      </w:r>
      <w:r w:rsidR="00623BE7">
        <w:rPr>
          <w:sz w:val="21"/>
        </w:rPr>
        <w:t>.</w:t>
      </w:r>
    </w:p>
    <w:p w14:paraId="6BF67AE4" w14:textId="77777777" w:rsidR="00F72258" w:rsidRDefault="00F72258" w:rsidP="002034D7">
      <w:pPr>
        <w:spacing w:before="199" w:line="360" w:lineRule="auto"/>
        <w:ind w:left="851" w:right="811"/>
        <w:jc w:val="both"/>
        <w:rPr>
          <w:sz w:val="21"/>
        </w:rPr>
      </w:pPr>
    </w:p>
    <w:p w14:paraId="31C08AFD" w14:textId="610DDC12" w:rsidR="00671649" w:rsidRPr="00671649" w:rsidRDefault="00671649" w:rsidP="002034D7">
      <w:pPr>
        <w:pStyle w:val="Titolo1"/>
        <w:spacing w:line="360" w:lineRule="auto"/>
        <w:rPr>
          <w:smallCaps/>
        </w:rPr>
      </w:pPr>
      <w:bookmarkStart w:id="10" w:name="_Toc220506552"/>
      <w:r w:rsidRPr="00671649">
        <w:rPr>
          <w:smallCaps/>
        </w:rPr>
        <w:t>5. Rapporto di Interdipendenza con il Modello 231/01</w:t>
      </w:r>
      <w:r w:rsidR="00267DD3">
        <w:rPr>
          <w:smallCaps/>
        </w:rPr>
        <w:t xml:space="preserve"> e i Sistemi Certificati</w:t>
      </w:r>
      <w:bookmarkEnd w:id="10"/>
    </w:p>
    <w:p w14:paraId="46F30A19" w14:textId="78B2D105" w:rsidR="0078795B" w:rsidRDefault="0078795B" w:rsidP="002034D7">
      <w:pPr>
        <w:spacing w:before="199" w:line="360" w:lineRule="auto"/>
        <w:ind w:left="851" w:right="811"/>
        <w:jc w:val="both"/>
        <w:rPr>
          <w:sz w:val="21"/>
        </w:rPr>
      </w:pPr>
      <w:r w:rsidRPr="0078795B">
        <w:rPr>
          <w:sz w:val="21"/>
        </w:rPr>
        <w:t xml:space="preserve">Si ricorda </w:t>
      </w:r>
      <w:r>
        <w:rPr>
          <w:sz w:val="21"/>
        </w:rPr>
        <w:t>altresì</w:t>
      </w:r>
      <w:r w:rsidRPr="0078795B">
        <w:rPr>
          <w:sz w:val="21"/>
        </w:rPr>
        <w:t xml:space="preserve"> come la Società sia dotata di un Modello di Organizzazione e Gestione e -in ottemperanza allo stesso- di un Organismo di Vigilanza</w:t>
      </w:r>
      <w:r>
        <w:rPr>
          <w:sz w:val="21"/>
        </w:rPr>
        <w:t xml:space="preserve"> Collegiale</w:t>
      </w:r>
      <w:r w:rsidRPr="0078795B">
        <w:rPr>
          <w:sz w:val="21"/>
        </w:rPr>
        <w:t xml:space="preserve">: i documenti redatti in attuazione della Legge 190/2012 nonché del </w:t>
      </w:r>
      <w:proofErr w:type="spellStart"/>
      <w:r w:rsidRPr="0078795B">
        <w:rPr>
          <w:sz w:val="21"/>
        </w:rPr>
        <w:t>D.Lgs</w:t>
      </w:r>
      <w:proofErr w:type="spellEnd"/>
      <w:r w:rsidRPr="0078795B">
        <w:rPr>
          <w:sz w:val="21"/>
        </w:rPr>
        <w:t xml:space="preserve"> 33/2013 e il Modello di Organizzazione, Gestione e Controllo ai sensi del </w:t>
      </w:r>
      <w:proofErr w:type="spellStart"/>
      <w:r w:rsidRPr="0078795B">
        <w:rPr>
          <w:sz w:val="21"/>
        </w:rPr>
        <w:t>D.Lgs.</w:t>
      </w:r>
      <w:proofErr w:type="spellEnd"/>
      <w:r w:rsidRPr="0078795B">
        <w:rPr>
          <w:sz w:val="21"/>
        </w:rPr>
        <w:t xml:space="preserve"> 231/01 sono coordinati tra loro e valutati quale un sistema integrato di controllo interno. Infatti, salvo alcune, circoscritte evenienze, il Modello </w:t>
      </w:r>
      <w:r w:rsidRPr="0078795B">
        <w:rPr>
          <w:sz w:val="21"/>
        </w:rPr>
        <w:lastRenderedPageBreak/>
        <w:t xml:space="preserve">231 nella sua articolazione organizzativa e procedurale consente di esplicare la propria efficacia anche in relazione alla prevenzione dei reati di corruzione, propri della Legge 190; in tal senso, i procedimenti sensibili, e cioè a rischio reato di corruzione, sono già mappati e mitigati in fase di sviluppo ed adozione del Modello 231. I casi in cui l’omologia appena descritta potrebbe venir meno ineriscono le aree ed i procedimenti afferenti ad attività di pubblico interesse e per i quali, in ragione della loro stessa natura, sono prevedibili esclusivamente ipotesi corruttive di tipo passivo; in tal caso il piano di prevenzione ex 190/12 non potrebbe essere semplicemente mutuato dal modello di organizzazione ex 231/01, ma dovrebbe prevedere azioni preventive e controlli successivi specifici. In tale ottica il Piano Anticorruzione e l’adempimento agli obblighi di Trasparenza sono strumenti idonei ad integrare, a loro volta, il Modello 231/01 e la prevenzione delle fattispecie di reato ivi previste, in particolare contro la Pubblica Amministrazione (art. 24 e 25 D.231/01) in materia societaria (art. 25 ter) e in materia di ricettazione e riciclaggio (art. 25 </w:t>
      </w:r>
      <w:proofErr w:type="spellStart"/>
      <w:r w:rsidRPr="0078795B">
        <w:rPr>
          <w:sz w:val="21"/>
        </w:rPr>
        <w:t>octies</w:t>
      </w:r>
      <w:proofErr w:type="spellEnd"/>
      <w:r w:rsidRPr="0078795B">
        <w:rPr>
          <w:sz w:val="21"/>
        </w:rPr>
        <w:t>).</w:t>
      </w:r>
    </w:p>
    <w:p w14:paraId="7F099B08" w14:textId="31520143" w:rsidR="00AE6511" w:rsidRDefault="00AE6511" w:rsidP="002034D7">
      <w:pPr>
        <w:spacing w:before="199" w:line="360" w:lineRule="auto"/>
        <w:ind w:left="851" w:right="811"/>
        <w:jc w:val="both"/>
        <w:rPr>
          <w:sz w:val="21"/>
        </w:rPr>
      </w:pPr>
      <w:r>
        <w:rPr>
          <w:sz w:val="21"/>
        </w:rPr>
        <w:t>L’Azienda d</w:t>
      </w:r>
      <w:r w:rsidRPr="00AE6511">
        <w:rPr>
          <w:sz w:val="21"/>
        </w:rPr>
        <w:t>al 28.6.19 è certificata ISO9001 per l’erogazione di prestazioni socio sanitarie assistenziali in regime residenziale a ciclo continuo</w:t>
      </w:r>
      <w:r>
        <w:rPr>
          <w:sz w:val="21"/>
        </w:rPr>
        <w:t>: anche le procedure adottate in forza della certificazione sono valutate quali presidi per i rischi corruttivi.</w:t>
      </w:r>
    </w:p>
    <w:p w14:paraId="1F14A541" w14:textId="04B831C4" w:rsidR="00A50B4E" w:rsidRDefault="00A50B4E" w:rsidP="00D506C9">
      <w:pPr>
        <w:pStyle w:val="Titolo1"/>
        <w:numPr>
          <w:ilvl w:val="0"/>
          <w:numId w:val="12"/>
        </w:numPr>
        <w:tabs>
          <w:tab w:val="left" w:pos="1037"/>
        </w:tabs>
        <w:spacing w:before="200" w:line="360" w:lineRule="auto"/>
        <w:ind w:left="851" w:right="939" w:firstLine="0"/>
        <w:jc w:val="both"/>
        <w:rPr>
          <w:smallCaps/>
        </w:rPr>
      </w:pPr>
      <w:bookmarkStart w:id="11" w:name="_Toc220506553"/>
      <w:r>
        <w:rPr>
          <w:smallCaps/>
        </w:rPr>
        <w:t>Politica Aziendale e Documentazione di Riferimento</w:t>
      </w:r>
      <w:bookmarkEnd w:id="11"/>
    </w:p>
    <w:p w14:paraId="5CA07BA5" w14:textId="59ECC354" w:rsidR="00A50B4E" w:rsidRPr="00A50B4E" w:rsidRDefault="00A50B4E" w:rsidP="00A50B4E">
      <w:pPr>
        <w:spacing w:before="101" w:line="360" w:lineRule="auto"/>
        <w:ind w:left="851" w:right="780"/>
        <w:jc w:val="both"/>
        <w:rPr>
          <w:sz w:val="21"/>
        </w:rPr>
      </w:pPr>
      <w:r>
        <w:rPr>
          <w:sz w:val="21"/>
        </w:rPr>
        <w:t xml:space="preserve">Asp e </w:t>
      </w:r>
      <w:proofErr w:type="spellStart"/>
      <w:r>
        <w:rPr>
          <w:sz w:val="21"/>
        </w:rPr>
        <w:t>Ebs</w:t>
      </w:r>
      <w:proofErr w:type="spellEnd"/>
      <w:r>
        <w:rPr>
          <w:sz w:val="21"/>
        </w:rPr>
        <w:t xml:space="preserve"> </w:t>
      </w:r>
      <w:r w:rsidRPr="00A50B4E">
        <w:rPr>
          <w:sz w:val="21"/>
        </w:rPr>
        <w:t>impronta</w:t>
      </w:r>
      <w:r>
        <w:rPr>
          <w:sz w:val="21"/>
        </w:rPr>
        <w:t>no</w:t>
      </w:r>
      <w:r w:rsidRPr="00A50B4E">
        <w:rPr>
          <w:sz w:val="21"/>
        </w:rPr>
        <w:t xml:space="preserve"> la propria attività a principi di correttezza e trasparenza, finalizzata al contrasto alla </w:t>
      </w:r>
      <w:r w:rsidRPr="00E91363">
        <w:rPr>
          <w:i/>
          <w:iCs/>
          <w:sz w:val="21"/>
        </w:rPr>
        <w:t xml:space="preserve">mala </w:t>
      </w:r>
      <w:proofErr w:type="spellStart"/>
      <w:r w:rsidRPr="00E91363">
        <w:rPr>
          <w:i/>
          <w:iCs/>
          <w:sz w:val="21"/>
        </w:rPr>
        <w:t>gestio</w:t>
      </w:r>
      <w:proofErr w:type="spellEnd"/>
      <w:r>
        <w:rPr>
          <w:sz w:val="21"/>
        </w:rPr>
        <w:t xml:space="preserve"> nell’agire amministrativo</w:t>
      </w:r>
      <w:r w:rsidRPr="00A50B4E">
        <w:rPr>
          <w:sz w:val="21"/>
        </w:rPr>
        <w:t xml:space="preserve"> e creando un sistema di riferimento volto ad attuare una concreta politica anticorruzione, tramite regole interne di carattere generale e procedure attuative.</w:t>
      </w:r>
    </w:p>
    <w:p w14:paraId="13B45524" w14:textId="62A7329E" w:rsidR="00A50B4E" w:rsidRPr="00A50B4E" w:rsidRDefault="00A50B4E" w:rsidP="00A50B4E">
      <w:pPr>
        <w:spacing w:before="101" w:line="360" w:lineRule="auto"/>
        <w:ind w:left="851" w:right="780"/>
        <w:jc w:val="both"/>
        <w:rPr>
          <w:sz w:val="21"/>
        </w:rPr>
      </w:pPr>
      <w:r w:rsidRPr="00A50B4E">
        <w:rPr>
          <w:sz w:val="21"/>
        </w:rPr>
        <w:t xml:space="preserve">Il Codice Etico, </w:t>
      </w:r>
      <w:r>
        <w:rPr>
          <w:sz w:val="21"/>
        </w:rPr>
        <w:t xml:space="preserve">parte del </w:t>
      </w:r>
      <w:r w:rsidRPr="00A50B4E">
        <w:rPr>
          <w:sz w:val="21"/>
        </w:rPr>
        <w:t>Modello di Organizzazione, Gestione e Controllo ai sensi del D.lgs. 231/2001 e il Piano Triennale di Prevenzione della Corruzione e Trasparenza costituiscono un corpus sistematico di norme interne finalizzato alla diffusione di una cultura dell’etica e della trasparenza aziendale e sono elementi essenziali del sistema di controllo</w:t>
      </w:r>
      <w:r>
        <w:rPr>
          <w:sz w:val="21"/>
        </w:rPr>
        <w:t>, il quale si declina operativamente tramite le procedure aziendali</w:t>
      </w:r>
      <w:r w:rsidR="00206BF7">
        <w:rPr>
          <w:sz w:val="21"/>
        </w:rPr>
        <w:t xml:space="preserve"> in vigore sia in virtù dei sistemi certificati di cui </w:t>
      </w:r>
      <w:r w:rsidR="00DD4A15">
        <w:rPr>
          <w:sz w:val="21"/>
        </w:rPr>
        <w:t>l’Azienda è dotata,</w:t>
      </w:r>
      <w:r w:rsidR="00206BF7">
        <w:rPr>
          <w:sz w:val="21"/>
        </w:rPr>
        <w:t xml:space="preserve"> che degli ulteriori protocolli via via adottat</w:t>
      </w:r>
      <w:r w:rsidR="00DD4A15">
        <w:rPr>
          <w:sz w:val="21"/>
        </w:rPr>
        <w:t xml:space="preserve">i ai fini di meglio </w:t>
      </w:r>
      <w:proofErr w:type="spellStart"/>
      <w:r w:rsidR="00DD4A15">
        <w:rPr>
          <w:sz w:val="21"/>
        </w:rPr>
        <w:t>proceduralizzare</w:t>
      </w:r>
      <w:proofErr w:type="spellEnd"/>
      <w:r w:rsidR="00DD4A15">
        <w:rPr>
          <w:sz w:val="21"/>
        </w:rPr>
        <w:t xml:space="preserve"> le attività.</w:t>
      </w:r>
    </w:p>
    <w:p w14:paraId="2845FB1F" w14:textId="48117D7B" w:rsidR="00A50B4E" w:rsidRDefault="00A50B4E" w:rsidP="00A50B4E">
      <w:pPr>
        <w:spacing w:before="101" w:line="360" w:lineRule="auto"/>
        <w:ind w:left="851" w:right="780"/>
        <w:jc w:val="both"/>
        <w:rPr>
          <w:sz w:val="21"/>
        </w:rPr>
      </w:pPr>
      <w:r w:rsidRPr="00A50B4E">
        <w:rPr>
          <w:sz w:val="21"/>
        </w:rPr>
        <w:t xml:space="preserve">La Società è impegnata, inoltre, a garantire la conformità della sezione del sito web istituzionale “Società Trasparente” agli obblighi di pubblicazioni dei dati, previsti dal D.lgs. n. 33/2013 e </w:t>
      </w:r>
      <w:proofErr w:type="spellStart"/>
      <w:r w:rsidRPr="00A50B4E">
        <w:rPr>
          <w:sz w:val="21"/>
        </w:rPr>
        <w:t>s.m.i.</w:t>
      </w:r>
      <w:proofErr w:type="spellEnd"/>
      <w:r w:rsidRPr="00A50B4E">
        <w:rPr>
          <w:sz w:val="21"/>
        </w:rPr>
        <w:t xml:space="preserve"> ed assicurare la correttezza e tempestività del flusso informativo interno.</w:t>
      </w:r>
    </w:p>
    <w:p w14:paraId="578A7F42" w14:textId="312076B0" w:rsidR="00697C4F" w:rsidRPr="00697C4F" w:rsidRDefault="00697C4F" w:rsidP="00D506C9">
      <w:pPr>
        <w:pStyle w:val="Titolo1"/>
        <w:numPr>
          <w:ilvl w:val="0"/>
          <w:numId w:val="12"/>
        </w:numPr>
        <w:tabs>
          <w:tab w:val="left" w:pos="1037"/>
        </w:tabs>
        <w:spacing w:before="200" w:line="360" w:lineRule="auto"/>
        <w:ind w:left="851" w:right="939" w:firstLine="0"/>
        <w:jc w:val="both"/>
        <w:rPr>
          <w:smallCaps/>
        </w:rPr>
      </w:pPr>
      <w:bookmarkStart w:id="12" w:name="_Toc220506554"/>
      <w:r w:rsidRPr="00697C4F">
        <w:rPr>
          <w:smallCaps/>
        </w:rPr>
        <w:t>Gli Attori nella Prevenzione ed i Destinatari del PTPCT</w:t>
      </w:r>
      <w:bookmarkEnd w:id="12"/>
    </w:p>
    <w:p w14:paraId="50DB71EA" w14:textId="2E583742" w:rsidR="00697C4F" w:rsidRPr="00697C4F" w:rsidRDefault="00697C4F" w:rsidP="00697C4F">
      <w:pPr>
        <w:spacing w:before="101" w:line="360" w:lineRule="auto"/>
        <w:ind w:left="851" w:right="780"/>
        <w:jc w:val="both"/>
        <w:rPr>
          <w:sz w:val="21"/>
        </w:rPr>
      </w:pPr>
      <w:r w:rsidRPr="00697C4F">
        <w:rPr>
          <w:sz w:val="21"/>
        </w:rPr>
        <w:t xml:space="preserve">La disciplina in materia di prevenzione della corruzione assegna al Responsabile della Prevenzione della corruzione e della trasparenza (RPCT) un determinante ruolo di </w:t>
      </w:r>
      <w:r w:rsidRPr="00697C4F">
        <w:rPr>
          <w:sz w:val="21"/>
        </w:rPr>
        <w:lastRenderedPageBreak/>
        <w:t xml:space="preserve">coordinamento del processo di gestione del rischio, in particolare per quanto concerne l’attività di predisposizione del PTPCT e </w:t>
      </w:r>
      <w:r>
        <w:rPr>
          <w:sz w:val="21"/>
        </w:rPr>
        <w:t>il</w:t>
      </w:r>
      <w:r w:rsidRPr="00697C4F">
        <w:rPr>
          <w:sz w:val="21"/>
        </w:rPr>
        <w:t xml:space="preserve"> monitoraggio (Parte IV, di cui al PNA 2019).</w:t>
      </w:r>
    </w:p>
    <w:p w14:paraId="0DAE027D" w14:textId="7F8E01A1" w:rsidR="00697C4F" w:rsidRPr="00697C4F" w:rsidRDefault="00697C4F" w:rsidP="00697C4F">
      <w:pPr>
        <w:spacing w:before="101" w:line="360" w:lineRule="auto"/>
        <w:ind w:left="851" w:right="780"/>
        <w:jc w:val="both"/>
        <w:rPr>
          <w:sz w:val="21"/>
        </w:rPr>
      </w:pPr>
      <w:r>
        <w:rPr>
          <w:sz w:val="21"/>
        </w:rPr>
        <w:t>L</w:t>
      </w:r>
      <w:r w:rsidRPr="00697C4F">
        <w:rPr>
          <w:sz w:val="21"/>
        </w:rPr>
        <w:t xml:space="preserve">’efficacia del sistema di prevenzione dei rischi corruttivi </w:t>
      </w:r>
      <w:r>
        <w:rPr>
          <w:sz w:val="21"/>
        </w:rPr>
        <w:t>è, tuttavia,</w:t>
      </w:r>
      <w:r w:rsidRPr="00697C4F">
        <w:rPr>
          <w:sz w:val="21"/>
        </w:rPr>
        <w:t xml:space="preserve"> connessa al contributo di tutti i soggetti presenti all’interno dell’organizzazione.</w:t>
      </w:r>
    </w:p>
    <w:p w14:paraId="67A23F23" w14:textId="1F5DF31F" w:rsidR="00697C4F" w:rsidRPr="00697C4F" w:rsidRDefault="00697C4F" w:rsidP="00697C4F">
      <w:pPr>
        <w:spacing w:before="101" w:line="360" w:lineRule="auto"/>
        <w:ind w:left="851" w:right="780"/>
        <w:jc w:val="both"/>
        <w:rPr>
          <w:sz w:val="21"/>
        </w:rPr>
      </w:pPr>
      <w:r w:rsidRPr="00697C4F">
        <w:rPr>
          <w:sz w:val="21"/>
        </w:rPr>
        <w:t xml:space="preserve">In </w:t>
      </w:r>
      <w:r>
        <w:rPr>
          <w:sz w:val="21"/>
        </w:rPr>
        <w:t>ASP e EBS</w:t>
      </w:r>
      <w:r w:rsidRPr="00697C4F">
        <w:rPr>
          <w:sz w:val="21"/>
        </w:rPr>
        <w:t xml:space="preserve"> gli ulteriori principali soggetti coinvolti nel sistema di gestione del rischio corruttivo sono:</w:t>
      </w:r>
    </w:p>
    <w:p w14:paraId="565D17BA" w14:textId="35444F4C" w:rsidR="00697C4F" w:rsidRPr="00697C4F" w:rsidRDefault="00697C4F" w:rsidP="00D506C9">
      <w:pPr>
        <w:numPr>
          <w:ilvl w:val="0"/>
          <w:numId w:val="28"/>
        </w:numPr>
        <w:spacing w:before="101" w:line="360" w:lineRule="auto"/>
        <w:ind w:right="780" w:firstLine="131"/>
        <w:jc w:val="both"/>
        <w:rPr>
          <w:sz w:val="21"/>
        </w:rPr>
      </w:pPr>
      <w:r w:rsidRPr="00697C4F">
        <w:rPr>
          <w:sz w:val="21"/>
        </w:rPr>
        <w:t>L’Organo Gestorio (</w:t>
      </w:r>
      <w:r>
        <w:rPr>
          <w:sz w:val="21"/>
        </w:rPr>
        <w:t xml:space="preserve">Commissario Straordinario e </w:t>
      </w:r>
      <w:r w:rsidRPr="00697C4F">
        <w:rPr>
          <w:sz w:val="21"/>
        </w:rPr>
        <w:t>A.U.), il quali ha il compito di:</w:t>
      </w:r>
    </w:p>
    <w:p w14:paraId="4C6417A1" w14:textId="77777777" w:rsidR="00697C4F" w:rsidRPr="00697C4F" w:rsidRDefault="00697C4F" w:rsidP="00697C4F">
      <w:pPr>
        <w:spacing w:before="101" w:line="360" w:lineRule="auto"/>
        <w:ind w:left="851" w:right="780"/>
        <w:jc w:val="both"/>
        <w:rPr>
          <w:sz w:val="21"/>
        </w:rPr>
      </w:pPr>
      <w:r w:rsidRPr="00697C4F">
        <w:rPr>
          <w:sz w:val="21"/>
        </w:rPr>
        <w:t xml:space="preserve">- valorizzare lo sviluppo e la realizzazione di un efficace processo di gestione del rischio di corruzione; </w:t>
      </w:r>
    </w:p>
    <w:p w14:paraId="36EB6C42" w14:textId="77777777" w:rsidR="00697C4F" w:rsidRPr="00697C4F" w:rsidRDefault="00697C4F" w:rsidP="00697C4F">
      <w:pPr>
        <w:spacing w:before="101" w:line="360" w:lineRule="auto"/>
        <w:ind w:left="851" w:right="780"/>
        <w:jc w:val="both"/>
        <w:rPr>
          <w:sz w:val="21"/>
        </w:rPr>
      </w:pPr>
      <w:r w:rsidRPr="00697C4F">
        <w:rPr>
          <w:sz w:val="21"/>
        </w:rPr>
        <w:t xml:space="preserve">- tenere conto, in sede di nomina del RPCT, delle competenze e della autorevolezza necessarie al corretto svolgimento delle funzioni assegnate; </w:t>
      </w:r>
    </w:p>
    <w:p w14:paraId="00A4E19E" w14:textId="18A2F270" w:rsidR="00697C4F" w:rsidRPr="00697C4F" w:rsidRDefault="00697C4F" w:rsidP="00697C4F">
      <w:pPr>
        <w:spacing w:before="101" w:line="360" w:lineRule="auto"/>
        <w:ind w:left="851" w:right="780"/>
        <w:jc w:val="both"/>
        <w:rPr>
          <w:sz w:val="21"/>
        </w:rPr>
      </w:pPr>
      <w:r w:rsidRPr="00697C4F">
        <w:rPr>
          <w:sz w:val="21"/>
        </w:rPr>
        <w:t xml:space="preserve">- assicurare, per quanto possibile in relazione alla realtà di riferimento, a RPCT un supporto concreto al fine di favorire il corretto svolgimento delle sue funzioni; </w:t>
      </w:r>
    </w:p>
    <w:p w14:paraId="5070225F" w14:textId="77777777" w:rsidR="00697C4F" w:rsidRPr="00697C4F" w:rsidRDefault="00697C4F" w:rsidP="00697C4F">
      <w:pPr>
        <w:spacing w:before="101" w:line="360" w:lineRule="auto"/>
        <w:ind w:left="851" w:right="780"/>
        <w:jc w:val="both"/>
        <w:rPr>
          <w:sz w:val="21"/>
        </w:rPr>
      </w:pPr>
      <w:r w:rsidRPr="00697C4F">
        <w:rPr>
          <w:sz w:val="21"/>
        </w:rPr>
        <w:t>- promuovere una cultura della valutazione del rischio all’interno dell’organizzazione.</w:t>
      </w:r>
    </w:p>
    <w:p w14:paraId="4B4DE15F" w14:textId="77777777" w:rsidR="00697C4F" w:rsidRDefault="00697C4F" w:rsidP="00D506C9">
      <w:pPr>
        <w:numPr>
          <w:ilvl w:val="0"/>
          <w:numId w:val="27"/>
        </w:numPr>
        <w:spacing w:before="101" w:line="360" w:lineRule="auto"/>
        <w:ind w:left="993" w:right="780" w:hanging="142"/>
        <w:jc w:val="both"/>
        <w:rPr>
          <w:sz w:val="21"/>
        </w:rPr>
      </w:pPr>
      <w:r>
        <w:rPr>
          <w:sz w:val="21"/>
        </w:rPr>
        <w:t xml:space="preserve">  </w:t>
      </w:r>
      <w:r w:rsidRPr="00697C4F">
        <w:rPr>
          <w:sz w:val="21"/>
        </w:rPr>
        <w:t>Tutti i dipendenti, che debbono partecipare al processo di gestione del rischio e, in particolare, alla attuazione delle misure di prevenzione programmate nel PTPCT;</w:t>
      </w:r>
    </w:p>
    <w:p w14:paraId="3306E3DD" w14:textId="77777777" w:rsidR="00697C4F" w:rsidRDefault="00697C4F" w:rsidP="00D506C9">
      <w:pPr>
        <w:numPr>
          <w:ilvl w:val="0"/>
          <w:numId w:val="27"/>
        </w:numPr>
        <w:spacing w:before="101" w:line="360" w:lineRule="auto"/>
        <w:ind w:left="993" w:right="780" w:hanging="142"/>
        <w:jc w:val="both"/>
        <w:rPr>
          <w:sz w:val="21"/>
        </w:rPr>
      </w:pPr>
      <w:r>
        <w:rPr>
          <w:sz w:val="21"/>
        </w:rPr>
        <w:t xml:space="preserve">  </w:t>
      </w:r>
      <w:r w:rsidRPr="00697C4F">
        <w:rPr>
          <w:sz w:val="21"/>
        </w:rPr>
        <w:t xml:space="preserve">L’Organismo di Vigilanza ex </w:t>
      </w:r>
      <w:proofErr w:type="spellStart"/>
      <w:r w:rsidRPr="00697C4F">
        <w:rPr>
          <w:sz w:val="21"/>
        </w:rPr>
        <w:t>D.Lgs</w:t>
      </w:r>
      <w:proofErr w:type="spellEnd"/>
      <w:r w:rsidRPr="00697C4F">
        <w:rPr>
          <w:sz w:val="21"/>
        </w:rPr>
        <w:t xml:space="preserve"> 231/01, al quale è affidato il compito di supporto alle attività di RPCT;</w:t>
      </w:r>
    </w:p>
    <w:p w14:paraId="66EF6981" w14:textId="2D8AEBD9" w:rsidR="00697C4F" w:rsidRPr="00697C4F" w:rsidRDefault="00697C4F" w:rsidP="00D506C9">
      <w:pPr>
        <w:numPr>
          <w:ilvl w:val="0"/>
          <w:numId w:val="27"/>
        </w:numPr>
        <w:spacing w:before="101" w:line="360" w:lineRule="auto"/>
        <w:ind w:left="993" w:right="780" w:hanging="142"/>
        <w:jc w:val="both"/>
        <w:rPr>
          <w:sz w:val="21"/>
        </w:rPr>
      </w:pPr>
      <w:r>
        <w:rPr>
          <w:sz w:val="21"/>
        </w:rPr>
        <w:t xml:space="preserve"> </w:t>
      </w:r>
      <w:r w:rsidRPr="00697C4F">
        <w:rPr>
          <w:sz w:val="21"/>
        </w:rPr>
        <w:t>L’OIV e/o struttura con funzioni analoghe, la quale</w:t>
      </w:r>
      <w:r>
        <w:rPr>
          <w:sz w:val="21"/>
        </w:rPr>
        <w:t xml:space="preserve"> </w:t>
      </w:r>
      <w:r w:rsidRPr="00697C4F">
        <w:rPr>
          <w:sz w:val="21"/>
        </w:rPr>
        <w:t xml:space="preserve">è stata nominata limitatamente alla verifica del rispetto degli obblighi di pubblicazione ex </w:t>
      </w:r>
      <w:proofErr w:type="spellStart"/>
      <w:r w:rsidRPr="00697C4F">
        <w:rPr>
          <w:sz w:val="21"/>
        </w:rPr>
        <w:t>D.Lgs</w:t>
      </w:r>
      <w:proofErr w:type="spellEnd"/>
      <w:r w:rsidRPr="00697C4F">
        <w:rPr>
          <w:sz w:val="21"/>
        </w:rPr>
        <w:t xml:space="preserve"> 33/2013 ed individuata nell’ODV.</w:t>
      </w:r>
    </w:p>
    <w:p w14:paraId="09AF55BB" w14:textId="6CD94920" w:rsidR="00697C4F" w:rsidRPr="00697C4F" w:rsidRDefault="00697C4F" w:rsidP="00697C4F">
      <w:pPr>
        <w:pStyle w:val="Titolo1"/>
        <w:tabs>
          <w:tab w:val="left" w:pos="1037"/>
        </w:tabs>
        <w:spacing w:before="200" w:line="360" w:lineRule="auto"/>
        <w:ind w:left="851" w:right="939" w:firstLine="0"/>
        <w:jc w:val="both"/>
        <w:rPr>
          <w:smallCaps/>
        </w:rPr>
      </w:pPr>
      <w:bookmarkStart w:id="13" w:name="_Toc66185971"/>
      <w:bookmarkStart w:id="14" w:name="_Toc66838492"/>
      <w:bookmarkStart w:id="15" w:name="_Toc220506555"/>
      <w:r w:rsidRPr="00697C4F">
        <w:rPr>
          <w:smallCaps/>
        </w:rPr>
        <w:t>7.1 Il Responsabile per la Prevenzione della Corruzione e per l’Integrità e la Trasparenza</w:t>
      </w:r>
      <w:bookmarkEnd w:id="13"/>
      <w:bookmarkEnd w:id="14"/>
      <w:bookmarkEnd w:id="15"/>
    </w:p>
    <w:p w14:paraId="038B5637" w14:textId="77777777" w:rsidR="00713592" w:rsidRPr="00713592" w:rsidRDefault="00713592" w:rsidP="00713592">
      <w:pPr>
        <w:spacing w:before="202" w:line="360" w:lineRule="auto"/>
        <w:ind w:left="851" w:right="809"/>
        <w:jc w:val="both"/>
        <w:rPr>
          <w:sz w:val="21"/>
        </w:rPr>
      </w:pPr>
      <w:bookmarkStart w:id="16" w:name="_Toc66185972"/>
      <w:bookmarkStart w:id="17" w:name="_Toc66838493"/>
      <w:r w:rsidRPr="00713592">
        <w:rPr>
          <w:sz w:val="21"/>
        </w:rPr>
        <w:t xml:space="preserve">Sul presupposto che ASP BRIGNOLE non ha alle proprie dipendenze personale e si avvale per lo svolgimento delle proprie attività in forza di Delibera n. 10 del 18/06/2009 del personale della E. Brignole Servizi </w:t>
      </w:r>
      <w:proofErr w:type="spellStart"/>
      <w:r w:rsidRPr="00713592">
        <w:rPr>
          <w:sz w:val="21"/>
        </w:rPr>
        <w:t>S.r.L.</w:t>
      </w:r>
      <w:proofErr w:type="spellEnd"/>
      <w:r w:rsidRPr="00713592">
        <w:rPr>
          <w:sz w:val="21"/>
        </w:rPr>
        <w:t xml:space="preserve"> e che EBS non ha alle proprie dipendenze personale dirigente, il dipendente Romeo è stato individuato quale soggetto munito delle maggiori competenze a svolgere il ruolo di RPCT (sia per ASP che per la controllata EBS).</w:t>
      </w:r>
    </w:p>
    <w:p w14:paraId="13772FAF" w14:textId="77777777" w:rsidR="00713592" w:rsidRDefault="00713592" w:rsidP="00713592">
      <w:pPr>
        <w:spacing w:before="202" w:line="360" w:lineRule="auto"/>
        <w:ind w:left="851" w:right="809"/>
        <w:jc w:val="both"/>
        <w:rPr>
          <w:sz w:val="21"/>
        </w:rPr>
      </w:pPr>
      <w:r w:rsidRPr="00713592">
        <w:rPr>
          <w:sz w:val="21"/>
        </w:rPr>
        <w:t>La nomina ha decorrenza dal 4.12.2018 ed è stata comunicata ad ANAC tramite compilazione ed invio a mezzo PEC del form predisposto dall’Autorità, nonché pubblicata sul sito web aziendale, pagina Amministrazione Trasparente (</w:t>
      </w:r>
      <w:hyperlink r:id="rId11" w:history="1">
        <w:r w:rsidRPr="00713592">
          <w:rPr>
            <w:color w:val="0000FF" w:themeColor="hyperlink"/>
            <w:sz w:val="21"/>
            <w:u w:val="single"/>
          </w:rPr>
          <w:t>http://emanuelebrignole.it/amministrazione-trasparente/</w:t>
        </w:r>
      </w:hyperlink>
      <w:r w:rsidRPr="00713592">
        <w:rPr>
          <w:sz w:val="21"/>
        </w:rPr>
        <w:t xml:space="preserve"> nonché con espressa </w:t>
      </w:r>
      <w:r w:rsidRPr="00713592">
        <w:rPr>
          <w:sz w:val="21"/>
        </w:rPr>
        <w:lastRenderedPageBreak/>
        <w:t xml:space="preserve">pubblicazione dei provvedimenti ai link </w:t>
      </w:r>
      <w:hyperlink r:id="rId12" w:history="1">
        <w:r w:rsidRPr="00713592">
          <w:rPr>
            <w:color w:val="0000FF" w:themeColor="hyperlink"/>
            <w:sz w:val="21"/>
            <w:u w:val="single"/>
          </w:rPr>
          <w:t>http://emanuelebrignole.it/amministrazione-trasparente/asp-decreto-rpcit-4-12-18/</w:t>
        </w:r>
      </w:hyperlink>
      <w:r w:rsidRPr="00713592">
        <w:rPr>
          <w:sz w:val="21"/>
        </w:rPr>
        <w:t xml:space="preserve"> (decreto 37/2018 del Commissario di ASP) e </w:t>
      </w:r>
      <w:hyperlink r:id="rId13" w:history="1">
        <w:r w:rsidRPr="00713592">
          <w:rPr>
            <w:color w:val="0000FF" w:themeColor="hyperlink"/>
            <w:sz w:val="21"/>
            <w:u w:val="single"/>
          </w:rPr>
          <w:t>http://emanuelebrignole.it/wp-content/uploads/2017/05/EBS-nomina-RPCIT.pdf</w:t>
        </w:r>
      </w:hyperlink>
      <w:r w:rsidRPr="00713592">
        <w:rPr>
          <w:sz w:val="21"/>
        </w:rPr>
        <w:t xml:space="preserve"> (provvedimento di nomina dell’A.U. di EBS).</w:t>
      </w:r>
    </w:p>
    <w:p w14:paraId="6774F434" w14:textId="77777777" w:rsidR="00623BE7" w:rsidRPr="00623BE7" w:rsidRDefault="00623BE7" w:rsidP="00623BE7">
      <w:pPr>
        <w:spacing w:before="202" w:line="360" w:lineRule="auto"/>
        <w:ind w:left="851" w:right="809"/>
        <w:jc w:val="both"/>
        <w:rPr>
          <w:sz w:val="21"/>
        </w:rPr>
      </w:pPr>
      <w:r w:rsidRPr="00623BE7">
        <w:rPr>
          <w:sz w:val="21"/>
        </w:rPr>
        <w:t xml:space="preserve">Sul presupposto che ASP BRIGNOLE non ha alle proprie dipendenze personale e si avvale per lo svolgimento delle proprie attività in forza di Delibera n. 10 del 18/06/2009 del personale della E. Brignole Servizi </w:t>
      </w:r>
      <w:proofErr w:type="spellStart"/>
      <w:r w:rsidRPr="00623BE7">
        <w:rPr>
          <w:sz w:val="21"/>
        </w:rPr>
        <w:t>S.r.L.</w:t>
      </w:r>
      <w:proofErr w:type="spellEnd"/>
      <w:r w:rsidRPr="00623BE7">
        <w:rPr>
          <w:sz w:val="21"/>
        </w:rPr>
        <w:t xml:space="preserve"> e che EBS non ha alle proprie dipendenze personale dirigente, il dipendente Romeo è stato individuato quale soggetto munito delle maggiori competenze a svolgere il ruolo di RPCT (sia per ASP che per la controllata EBS).</w:t>
      </w:r>
    </w:p>
    <w:p w14:paraId="0CC967E7" w14:textId="77777777" w:rsidR="00623BE7" w:rsidRPr="00623BE7" w:rsidRDefault="00623BE7" w:rsidP="00623BE7">
      <w:pPr>
        <w:spacing w:before="202" w:line="360" w:lineRule="auto"/>
        <w:ind w:left="851" w:right="809"/>
        <w:jc w:val="both"/>
        <w:rPr>
          <w:sz w:val="21"/>
        </w:rPr>
      </w:pPr>
      <w:r w:rsidRPr="00623BE7">
        <w:rPr>
          <w:sz w:val="21"/>
        </w:rPr>
        <w:t>La nomina ha decorrenza dal 4.12.2018 ed è stata comunicata ad ANAC tramite compilazione ed invio a mezzo PEC del form predisposto dall’Autorità, nonché pubblicata sul sito web aziendale, pagina Amministrazione Trasparente (http://emanuelebrignole.it/amministrazione-trasparente/  nonché con espressa pubblicazione dei provvedimenti ai link http://emanuelebrignole.it/amministrazione-trasparente/asp-decreto-rpcit-4-12-18/  (decreto 37/2018 del Commissario di ASP) e http://emanuelebrignole.it/wp-content/uploads/2017/05/EBS-nomina-RPCIT.pdf  (provvedimento di nomina dell’A.U. di EBS).</w:t>
      </w:r>
    </w:p>
    <w:p w14:paraId="25A3C9CF" w14:textId="77777777" w:rsidR="00623BE7" w:rsidRPr="00623BE7" w:rsidRDefault="00623BE7" w:rsidP="00623BE7">
      <w:pPr>
        <w:spacing w:before="202" w:line="360" w:lineRule="auto"/>
        <w:ind w:left="851" w:right="809"/>
        <w:jc w:val="both"/>
        <w:rPr>
          <w:sz w:val="21"/>
        </w:rPr>
      </w:pPr>
      <w:r w:rsidRPr="00623BE7">
        <w:rPr>
          <w:sz w:val="21"/>
        </w:rPr>
        <w:t>L’Ente ha preso atto che la disciplina primaria non prevede una durata vincolante dell’incarico di RPCT e che l’assenza di un termine legale lascia un margine di autonomia alle amministrazioni, ma che al contempo l’Allegato 3 al PNA 2022 (Piano Nazionale Anticorruzione), adottato da ANAC, ed i successivi pareri dell’Autorità, raccomandano un limite massimo di sei anni, pari a due mandati triennali. Una proroga oltre i sei anni è possibile, purché adeguatamente motivata, giustificata da circostanze concrete e deliberata in modo formale dall’organo di indirizzo politico/amministrativo.</w:t>
      </w:r>
    </w:p>
    <w:p w14:paraId="1781C937" w14:textId="77777777" w:rsidR="00623BE7" w:rsidRPr="00623BE7" w:rsidRDefault="00623BE7" w:rsidP="00623BE7">
      <w:pPr>
        <w:spacing w:before="202" w:line="360" w:lineRule="auto"/>
        <w:ind w:left="851" w:right="809"/>
        <w:jc w:val="both"/>
        <w:rPr>
          <w:sz w:val="21"/>
        </w:rPr>
      </w:pPr>
      <w:r w:rsidRPr="00623BE7">
        <w:rPr>
          <w:sz w:val="21"/>
        </w:rPr>
        <w:t xml:space="preserve">L’Organo Gestorio ha </w:t>
      </w:r>
      <w:proofErr w:type="spellStart"/>
      <w:r w:rsidRPr="00623BE7">
        <w:rPr>
          <w:sz w:val="21"/>
        </w:rPr>
        <w:t>riformalizzato</w:t>
      </w:r>
      <w:proofErr w:type="spellEnd"/>
      <w:r w:rsidRPr="00623BE7">
        <w:rPr>
          <w:sz w:val="21"/>
        </w:rPr>
        <w:t xml:space="preserve"> l’incarico per un ultimo triennio allo RPCT in carica valutata (i) l’assenza di valide alternative interne e di altro soggetto idoneo e del pari valutate positivamente le competenze acquisite e l’esperienza maturata dallo RPCT in carica e (ii) considerata la sussistenza di meccanismi di controllo interni, ed in particolare la presenza di ODV e OIV, i quali compensano il venir meno del principio di rotazione ed evitano il consolidamento eccessivo di potere decisionale su una singola figura e prevengono il rischio di conflitti di interesse legati alla permanenza prolungata nello stesso incarico.</w:t>
      </w:r>
    </w:p>
    <w:p w14:paraId="1C6AFA01" w14:textId="6911139A" w:rsidR="00623BE7" w:rsidRPr="00713592" w:rsidRDefault="00623BE7" w:rsidP="00623BE7">
      <w:pPr>
        <w:spacing w:before="202" w:line="360" w:lineRule="auto"/>
        <w:ind w:left="851" w:right="809"/>
        <w:jc w:val="both"/>
        <w:rPr>
          <w:sz w:val="21"/>
        </w:rPr>
      </w:pPr>
      <w:r w:rsidRPr="00623BE7">
        <w:rPr>
          <w:sz w:val="21"/>
        </w:rPr>
        <w:t xml:space="preserve">Sotto ulteriore distinto profilo, ricordato come ASP opera in forza di Delibera n. 10 del 18/06/2009 attraverso il personale della E. Brignole Servizi </w:t>
      </w:r>
      <w:proofErr w:type="spellStart"/>
      <w:r w:rsidRPr="00623BE7">
        <w:rPr>
          <w:sz w:val="21"/>
        </w:rPr>
        <w:t>S.r.L.</w:t>
      </w:r>
      <w:proofErr w:type="spellEnd"/>
      <w:r w:rsidRPr="00623BE7">
        <w:rPr>
          <w:sz w:val="21"/>
        </w:rPr>
        <w:t xml:space="preserve"> Società in house </w:t>
      </w:r>
      <w:r w:rsidRPr="00623BE7">
        <w:rPr>
          <w:sz w:val="21"/>
        </w:rPr>
        <w:lastRenderedPageBreak/>
        <w:t>controllata al 100% da ASP, l’attuale RPCT ritiene, in continuità con la scelta operata nel 2018, di redigere un unitario PTCP per entrambe le realtà.</w:t>
      </w:r>
    </w:p>
    <w:p w14:paraId="7A02543F" w14:textId="2EBF6E8E" w:rsidR="00697C4F" w:rsidRPr="00697C4F" w:rsidRDefault="00697C4F" w:rsidP="00697C4F">
      <w:pPr>
        <w:pStyle w:val="Titolo1"/>
        <w:tabs>
          <w:tab w:val="left" w:pos="1037"/>
        </w:tabs>
        <w:spacing w:before="200" w:line="360" w:lineRule="auto"/>
        <w:ind w:left="851" w:right="939" w:firstLine="0"/>
        <w:jc w:val="both"/>
        <w:rPr>
          <w:smallCaps/>
        </w:rPr>
      </w:pPr>
      <w:bookmarkStart w:id="18" w:name="_Toc220506556"/>
      <w:r>
        <w:rPr>
          <w:smallCaps/>
        </w:rPr>
        <w:t>7.2</w:t>
      </w:r>
      <w:r w:rsidRPr="00697C4F">
        <w:rPr>
          <w:smallCaps/>
        </w:rPr>
        <w:t xml:space="preserve"> Requisiti</w:t>
      </w:r>
      <w:bookmarkEnd w:id="16"/>
      <w:bookmarkEnd w:id="17"/>
      <w:bookmarkEnd w:id="18"/>
      <w:r w:rsidRPr="00697C4F">
        <w:rPr>
          <w:smallCaps/>
        </w:rPr>
        <w:t xml:space="preserve"> </w:t>
      </w:r>
    </w:p>
    <w:p w14:paraId="4666F397" w14:textId="0100F6FC" w:rsidR="00697C4F" w:rsidRPr="00697C4F" w:rsidRDefault="00697C4F" w:rsidP="00697C4F">
      <w:pPr>
        <w:spacing w:before="101" w:line="360" w:lineRule="auto"/>
        <w:ind w:left="851" w:right="780"/>
        <w:jc w:val="both"/>
        <w:rPr>
          <w:sz w:val="21"/>
        </w:rPr>
      </w:pPr>
      <w:r w:rsidRPr="00697C4F">
        <w:rPr>
          <w:sz w:val="21"/>
        </w:rPr>
        <w:t>La nomina del Responsabile è stata effettuata valutata l’assenza all’interno dell’organigramma di dipendenti con inquadramento quale dirigente o quadro; il dipendente è stato pertanto individuato a seguito di valutazione delle mansioni svolte dai dipendenti, dei colloqui intercorsi e delle disponibilità fornite.</w:t>
      </w:r>
    </w:p>
    <w:p w14:paraId="769BC7B0" w14:textId="77777777" w:rsidR="00697C4F" w:rsidRPr="00697C4F" w:rsidRDefault="00697C4F" w:rsidP="00697C4F">
      <w:pPr>
        <w:spacing w:before="101" w:line="360" w:lineRule="auto"/>
        <w:ind w:left="851" w:right="780"/>
        <w:jc w:val="both"/>
        <w:rPr>
          <w:sz w:val="21"/>
        </w:rPr>
      </w:pPr>
      <w:r w:rsidRPr="00697C4F">
        <w:rPr>
          <w:sz w:val="21"/>
        </w:rPr>
        <w:t>Sono stati tenuti in considerazione i residui ed applicabili requisiti normativamente stabiliti:</w:t>
      </w:r>
    </w:p>
    <w:p w14:paraId="514890FD" w14:textId="77777777" w:rsidR="00697C4F" w:rsidRPr="00697C4F" w:rsidRDefault="00697C4F" w:rsidP="00697C4F">
      <w:pPr>
        <w:spacing w:before="101" w:line="360" w:lineRule="auto"/>
        <w:ind w:left="851" w:right="780"/>
        <w:jc w:val="both"/>
        <w:rPr>
          <w:sz w:val="21"/>
        </w:rPr>
      </w:pPr>
      <w:r w:rsidRPr="00697C4F">
        <w:rPr>
          <w:sz w:val="21"/>
        </w:rPr>
        <w:t>-</w:t>
      </w:r>
      <w:r w:rsidRPr="00697C4F">
        <w:rPr>
          <w:sz w:val="21"/>
        </w:rPr>
        <w:tab/>
        <w:t>non essere stato destinatario di provvedimenti giudiziali di condanna, né di provvedimenti disciplinari;</w:t>
      </w:r>
    </w:p>
    <w:p w14:paraId="67EF2308" w14:textId="77777777" w:rsidR="00697C4F" w:rsidRPr="00697C4F" w:rsidRDefault="00697C4F" w:rsidP="00697C4F">
      <w:pPr>
        <w:spacing w:before="101" w:line="360" w:lineRule="auto"/>
        <w:ind w:left="851" w:right="780"/>
        <w:jc w:val="both"/>
        <w:rPr>
          <w:sz w:val="21"/>
        </w:rPr>
      </w:pPr>
      <w:r w:rsidRPr="00697C4F">
        <w:rPr>
          <w:sz w:val="21"/>
        </w:rPr>
        <w:t>-</w:t>
      </w:r>
      <w:r w:rsidRPr="00697C4F">
        <w:rPr>
          <w:sz w:val="21"/>
        </w:rPr>
        <w:tab/>
        <w:t>aver dato nel tempo dimostrazione di comportamento integerrimo;</w:t>
      </w:r>
    </w:p>
    <w:p w14:paraId="5C1FE40A" w14:textId="77777777" w:rsidR="00697C4F" w:rsidRPr="00697C4F" w:rsidRDefault="00697C4F" w:rsidP="00697C4F">
      <w:pPr>
        <w:spacing w:before="101" w:line="360" w:lineRule="auto"/>
        <w:ind w:left="851" w:right="780"/>
        <w:jc w:val="both"/>
        <w:rPr>
          <w:sz w:val="21"/>
        </w:rPr>
      </w:pPr>
      <w:r w:rsidRPr="00697C4F">
        <w:rPr>
          <w:sz w:val="21"/>
        </w:rPr>
        <w:t>-</w:t>
      </w:r>
      <w:r w:rsidRPr="00697C4F">
        <w:rPr>
          <w:sz w:val="21"/>
        </w:rPr>
        <w:tab/>
        <w:t>non essere in conflitto di interessi;</w:t>
      </w:r>
    </w:p>
    <w:p w14:paraId="4E7C3052" w14:textId="77777777" w:rsidR="00697C4F" w:rsidRPr="00697C4F" w:rsidRDefault="00697C4F" w:rsidP="00697C4F">
      <w:pPr>
        <w:spacing w:before="101" w:line="360" w:lineRule="auto"/>
        <w:ind w:left="851" w:right="780"/>
        <w:jc w:val="both"/>
        <w:rPr>
          <w:sz w:val="21"/>
        </w:rPr>
      </w:pPr>
      <w:r w:rsidRPr="00697C4F">
        <w:rPr>
          <w:sz w:val="21"/>
        </w:rPr>
        <w:t>-  non essere un soggetto incaricato dei settori tradizionalmente più esposti al rischio della corruzione.</w:t>
      </w:r>
    </w:p>
    <w:p w14:paraId="0D5687B8" w14:textId="791F3BE2" w:rsidR="00697C4F" w:rsidRPr="00697C4F" w:rsidRDefault="00697C4F" w:rsidP="00697C4F">
      <w:pPr>
        <w:pStyle w:val="Titolo1"/>
        <w:tabs>
          <w:tab w:val="left" w:pos="1037"/>
        </w:tabs>
        <w:spacing w:before="200" w:line="360" w:lineRule="auto"/>
        <w:ind w:left="851" w:right="939" w:firstLine="0"/>
        <w:jc w:val="both"/>
        <w:rPr>
          <w:smallCaps/>
        </w:rPr>
      </w:pPr>
      <w:bookmarkStart w:id="19" w:name="_Toc66185973"/>
      <w:bookmarkStart w:id="20" w:name="_Toc66838494"/>
      <w:bookmarkStart w:id="21" w:name="_Toc220506557"/>
      <w:r>
        <w:rPr>
          <w:smallCaps/>
        </w:rPr>
        <w:t xml:space="preserve">7.3 </w:t>
      </w:r>
      <w:r w:rsidRPr="00697C4F">
        <w:rPr>
          <w:smallCaps/>
        </w:rPr>
        <w:t>Compiti</w:t>
      </w:r>
      <w:bookmarkEnd w:id="19"/>
      <w:bookmarkEnd w:id="20"/>
      <w:bookmarkEnd w:id="21"/>
    </w:p>
    <w:p w14:paraId="4BA14DB9" w14:textId="20C4B698" w:rsidR="00697C4F" w:rsidRPr="00697C4F" w:rsidRDefault="00697C4F" w:rsidP="00697C4F">
      <w:pPr>
        <w:spacing w:before="101" w:line="360" w:lineRule="auto"/>
        <w:ind w:left="851" w:right="780"/>
        <w:jc w:val="both"/>
        <w:rPr>
          <w:sz w:val="21"/>
        </w:rPr>
      </w:pPr>
      <w:r w:rsidRPr="00697C4F">
        <w:rPr>
          <w:sz w:val="21"/>
        </w:rPr>
        <w:t>A RPCT sono assegnate in termini generali le seguenti responsabilità:</w:t>
      </w:r>
    </w:p>
    <w:p w14:paraId="062F8EAC"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t>predisporre, in via esclusiva, il PTPCT da sottoporre all’organo amministrativo per la sua approvazione;</w:t>
      </w:r>
    </w:p>
    <w:p w14:paraId="69811581"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t>collaborare nella definizione di procedure appropriate per selezionare e formare i dipendenti destinati ad operare nei settori esposti alla corruzione;</w:t>
      </w:r>
    </w:p>
    <w:p w14:paraId="1822D879"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t>verificare l'efficace attuazione del piano e la sua idoneità;</w:t>
      </w:r>
    </w:p>
    <w:p w14:paraId="0BD74EEF"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t>redigere e pubblicare la Relazione annuale recante i risultati dell’attività svolta, entro la data comunicata dall’A.N.AC.;</w:t>
      </w:r>
    </w:p>
    <w:p w14:paraId="5DFBEA68"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t>proporre modifiche al Piano in caso di accertamento di significative violazioni o di mutamenti dell'organizzazione;</w:t>
      </w:r>
    </w:p>
    <w:p w14:paraId="245C91D7"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t>individuare i dipendenti da inserire nei percorsi di formazione sui temi dell'etica e della legalità;</w:t>
      </w:r>
    </w:p>
    <w:p w14:paraId="0E53BAD4"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t>promuovere ed effettuare incontri periodici con l’Organismo di Vigilanza nominato ai sensi del D.lgs. 231/2001 al fine di coordinare le rispettive attività;</w:t>
      </w:r>
    </w:p>
    <w:p w14:paraId="3D3302B3"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t>effettuare attività di controllo sull'adempimento da parte della Società degli obblighi di pubblicazione previsti dalla normativa vigente;</w:t>
      </w:r>
    </w:p>
    <w:p w14:paraId="68FB62E5" w14:textId="77777777" w:rsidR="00697C4F" w:rsidRPr="00697C4F" w:rsidRDefault="00697C4F" w:rsidP="00D506C9">
      <w:pPr>
        <w:numPr>
          <w:ilvl w:val="0"/>
          <w:numId w:val="29"/>
        </w:numPr>
        <w:spacing w:before="101" w:line="360" w:lineRule="auto"/>
        <w:ind w:left="851" w:right="780" w:firstLine="0"/>
        <w:jc w:val="both"/>
        <w:rPr>
          <w:sz w:val="21"/>
        </w:rPr>
      </w:pPr>
      <w:r w:rsidRPr="00697C4F">
        <w:rPr>
          <w:sz w:val="21"/>
        </w:rPr>
        <w:lastRenderedPageBreak/>
        <w:t>segnalare i casi di mancato o ritardato adempimento degli obblighi di pubblicazione all’Organo Amministrativo, all’A.N.AC. ai fini dell'eventuale attivazione delle azioni più opportune e/o del procedimento disciplinare.</w:t>
      </w:r>
    </w:p>
    <w:p w14:paraId="0F0DCB2E" w14:textId="77777777" w:rsidR="00697C4F" w:rsidRPr="00697C4F" w:rsidRDefault="00697C4F" w:rsidP="00697C4F">
      <w:pPr>
        <w:spacing w:before="101" w:line="360" w:lineRule="auto"/>
        <w:ind w:left="851" w:right="780"/>
        <w:jc w:val="both"/>
        <w:rPr>
          <w:sz w:val="21"/>
        </w:rPr>
      </w:pPr>
      <w:r w:rsidRPr="00697C4F">
        <w:rPr>
          <w:sz w:val="21"/>
        </w:rPr>
        <w:t>Inoltre, ai sensi dell’art. 15, commi 1 e 2 del D.lgs. 39/2013, Il Responsabile deve:</w:t>
      </w:r>
    </w:p>
    <w:p w14:paraId="1F384AFA" w14:textId="77777777" w:rsidR="00697C4F" w:rsidRPr="00697C4F" w:rsidRDefault="00697C4F" w:rsidP="00D506C9">
      <w:pPr>
        <w:numPr>
          <w:ilvl w:val="0"/>
          <w:numId w:val="30"/>
        </w:numPr>
        <w:spacing w:before="101" w:line="360" w:lineRule="auto"/>
        <w:ind w:left="851" w:right="780" w:firstLine="0"/>
        <w:jc w:val="both"/>
        <w:rPr>
          <w:sz w:val="21"/>
        </w:rPr>
      </w:pPr>
      <w:r w:rsidRPr="00697C4F">
        <w:rPr>
          <w:sz w:val="21"/>
        </w:rPr>
        <w:t>curare, anche attraverso le opportune indicazioni nel Piano, il rispetto delle disposizioni applicabili in materia di inconferibilità e incompatibilità degli incarichi;</w:t>
      </w:r>
    </w:p>
    <w:p w14:paraId="4DA11330" w14:textId="77777777" w:rsidR="00697C4F" w:rsidRPr="00697C4F" w:rsidRDefault="00697C4F" w:rsidP="00D506C9">
      <w:pPr>
        <w:numPr>
          <w:ilvl w:val="0"/>
          <w:numId w:val="30"/>
        </w:numPr>
        <w:spacing w:before="101" w:line="360" w:lineRule="auto"/>
        <w:ind w:left="851" w:right="780" w:firstLine="0"/>
        <w:jc w:val="both"/>
        <w:rPr>
          <w:sz w:val="21"/>
        </w:rPr>
      </w:pPr>
      <w:r w:rsidRPr="00697C4F">
        <w:rPr>
          <w:sz w:val="21"/>
        </w:rPr>
        <w:t>contestare ai soggetti interessati l’esistenza o l’insorgere di cause di inconferibilità o incompatibilità, di cui al D.lgs. 39/2013, segnalando altresì i casi di possibile violazione delle predette disposizioni ai soggetti competenti.</w:t>
      </w:r>
    </w:p>
    <w:p w14:paraId="795D5E7C" w14:textId="1B4E12A6" w:rsidR="00697C4F" w:rsidRPr="00697C4F" w:rsidRDefault="00697C4F" w:rsidP="00697C4F">
      <w:pPr>
        <w:pStyle w:val="Titolo1"/>
        <w:tabs>
          <w:tab w:val="left" w:pos="1037"/>
        </w:tabs>
        <w:spacing w:before="200" w:line="360" w:lineRule="auto"/>
        <w:ind w:left="851" w:right="939" w:firstLine="0"/>
        <w:jc w:val="both"/>
        <w:rPr>
          <w:smallCaps/>
        </w:rPr>
      </w:pPr>
      <w:bookmarkStart w:id="22" w:name="_Toc66185974"/>
      <w:bookmarkStart w:id="23" w:name="_Toc66838495"/>
      <w:bookmarkStart w:id="24" w:name="_Toc220506558"/>
      <w:r>
        <w:rPr>
          <w:smallCaps/>
        </w:rPr>
        <w:t>7.4</w:t>
      </w:r>
      <w:r w:rsidRPr="00697C4F">
        <w:rPr>
          <w:smallCaps/>
        </w:rPr>
        <w:t xml:space="preserve"> Poteri di Interlocuzione e Controllo di RPCT</w:t>
      </w:r>
      <w:bookmarkEnd w:id="22"/>
      <w:bookmarkEnd w:id="23"/>
      <w:bookmarkEnd w:id="24"/>
    </w:p>
    <w:p w14:paraId="0DFEABBE" w14:textId="77777777" w:rsidR="00697C4F" w:rsidRPr="00697C4F" w:rsidRDefault="00697C4F" w:rsidP="00697C4F">
      <w:pPr>
        <w:spacing w:before="101" w:line="360" w:lineRule="auto"/>
        <w:ind w:left="851" w:right="780"/>
        <w:jc w:val="both"/>
        <w:rPr>
          <w:sz w:val="21"/>
        </w:rPr>
      </w:pPr>
      <w:r w:rsidRPr="00697C4F">
        <w:rPr>
          <w:sz w:val="21"/>
        </w:rPr>
        <w:t>A RPCT sono assegnati i seguenti poteri, per lo svolgimento dell’incarico con autonomia ed effettività, ivi inclusi i poteri di vigilanza sulla efficace attuazione delle misure previste nel PTPCT:</w:t>
      </w:r>
    </w:p>
    <w:p w14:paraId="1BD664B5" w14:textId="77777777" w:rsidR="00B3371D" w:rsidRPr="00B3371D" w:rsidRDefault="00B3371D" w:rsidP="00D506C9">
      <w:pPr>
        <w:numPr>
          <w:ilvl w:val="1"/>
          <w:numId w:val="31"/>
        </w:numPr>
        <w:spacing w:before="101" w:line="360" w:lineRule="auto"/>
        <w:ind w:right="780"/>
        <w:jc w:val="both"/>
        <w:rPr>
          <w:sz w:val="21"/>
        </w:rPr>
      </w:pPr>
      <w:r w:rsidRPr="00B3371D">
        <w:rPr>
          <w:sz w:val="21"/>
        </w:rPr>
        <w:t>partecipare all’adunanza dell’Organo Amministrativo chiamato a deliberare sull’adozione del PTPCT e suo aggiornamento;</w:t>
      </w:r>
    </w:p>
    <w:p w14:paraId="0AE23DDD" w14:textId="5BCA32F2" w:rsidR="00B3371D" w:rsidRPr="00B3371D" w:rsidRDefault="00B3371D" w:rsidP="00D506C9">
      <w:pPr>
        <w:numPr>
          <w:ilvl w:val="1"/>
          <w:numId w:val="31"/>
        </w:numPr>
        <w:spacing w:before="101" w:line="360" w:lineRule="auto"/>
        <w:ind w:right="780"/>
        <w:jc w:val="both"/>
        <w:rPr>
          <w:sz w:val="21"/>
        </w:rPr>
      </w:pPr>
      <w:r w:rsidRPr="00B3371D">
        <w:rPr>
          <w:sz w:val="21"/>
        </w:rPr>
        <w:t>riferire all’Organo Amministrativo, all’A.N.AC. e al</w:t>
      </w:r>
      <w:r>
        <w:rPr>
          <w:sz w:val="21"/>
        </w:rPr>
        <w:t xml:space="preserve"> Responsabile </w:t>
      </w:r>
      <w:r w:rsidRPr="00B3371D">
        <w:rPr>
          <w:sz w:val="21"/>
        </w:rPr>
        <w:t>Risorse Umane, ai fini dell'eventuale attivazione delle azioni necessarie per l’espletamento dei propri compiti.</w:t>
      </w:r>
    </w:p>
    <w:p w14:paraId="5B71D42D" w14:textId="2587F75E" w:rsidR="00B3371D" w:rsidRPr="00B3371D" w:rsidRDefault="00B3371D" w:rsidP="00B3371D">
      <w:pPr>
        <w:spacing w:before="101" w:line="360" w:lineRule="auto"/>
        <w:ind w:left="851" w:right="780"/>
        <w:jc w:val="both"/>
        <w:rPr>
          <w:sz w:val="21"/>
        </w:rPr>
      </w:pPr>
      <w:r w:rsidRPr="00B3371D">
        <w:rPr>
          <w:sz w:val="21"/>
        </w:rPr>
        <w:t>Per l’espletamento dei propri compiti, RPCT dispone della libertà di accesso senza limitazioni alle informazioni aziendali rilevanti per le proprie attività di analisi e controllo; può richiedere dati, rilevanti per le attività di competenza, a qualunque funzione aziendale, che è tenuta a rispondere.</w:t>
      </w:r>
      <w:r>
        <w:rPr>
          <w:sz w:val="21"/>
        </w:rPr>
        <w:t xml:space="preserve"> </w:t>
      </w:r>
      <w:r w:rsidRPr="00B3371D">
        <w:rPr>
          <w:sz w:val="21"/>
        </w:rPr>
        <w:t>Al contempo si ricorda</w:t>
      </w:r>
      <w:r>
        <w:rPr>
          <w:sz w:val="21"/>
        </w:rPr>
        <w:t>, tuttavia,</w:t>
      </w:r>
      <w:r w:rsidRPr="00B3371D">
        <w:rPr>
          <w:sz w:val="21"/>
        </w:rPr>
        <w:t xml:space="preserve"> come a RPCT non competano poteri di gestione o decisionali relativi allo svolgimento delle attività della Società, poteri organizzativi o di modifica della struttura aziendale, né poteri sanzionatori.</w:t>
      </w:r>
    </w:p>
    <w:p w14:paraId="38E5B4FD" w14:textId="77777777" w:rsidR="00B3371D" w:rsidRPr="00B3371D" w:rsidRDefault="00B3371D" w:rsidP="00B3371D">
      <w:pPr>
        <w:spacing w:before="101" w:line="360" w:lineRule="auto"/>
        <w:ind w:left="851" w:right="780"/>
        <w:jc w:val="both"/>
        <w:rPr>
          <w:sz w:val="21"/>
        </w:rPr>
      </w:pPr>
      <w:r w:rsidRPr="00B3371D">
        <w:rPr>
          <w:sz w:val="21"/>
        </w:rPr>
        <w:t>Nello svolgimento dei compiti, il RPCT può avvalersi del supporto delle altre funzioni interne, qualora necessario od opportuno, al fine di disporre del più elevato livello di professionalità specifica e di continuità di azione.</w:t>
      </w:r>
    </w:p>
    <w:p w14:paraId="13EA7BA8" w14:textId="3C84C333" w:rsidR="00B3371D" w:rsidRPr="00B3371D" w:rsidRDefault="00B3371D" w:rsidP="00B3371D">
      <w:pPr>
        <w:spacing w:before="101" w:line="360" w:lineRule="auto"/>
        <w:ind w:left="851" w:right="780"/>
        <w:jc w:val="both"/>
        <w:rPr>
          <w:sz w:val="21"/>
        </w:rPr>
      </w:pPr>
      <w:r w:rsidRPr="00B3371D">
        <w:rPr>
          <w:sz w:val="21"/>
        </w:rPr>
        <w:t>In particolare, a titolo esemplificativo e non esaustivo, il RPCT può avvalersi</w:t>
      </w:r>
      <w:r>
        <w:rPr>
          <w:sz w:val="21"/>
        </w:rPr>
        <w:t xml:space="preserve">, del supporto di </w:t>
      </w:r>
      <w:proofErr w:type="spellStart"/>
      <w:r>
        <w:rPr>
          <w:sz w:val="21"/>
        </w:rPr>
        <w:t>OdV</w:t>
      </w:r>
      <w:proofErr w:type="spellEnd"/>
      <w:r>
        <w:rPr>
          <w:sz w:val="21"/>
        </w:rPr>
        <w:t xml:space="preserve"> </w:t>
      </w:r>
      <w:r w:rsidRPr="00B3371D">
        <w:rPr>
          <w:sz w:val="21"/>
        </w:rPr>
        <w:t>in ordine all’interpretazione della normativa rilevante</w:t>
      </w:r>
      <w:r>
        <w:rPr>
          <w:sz w:val="21"/>
        </w:rPr>
        <w:t xml:space="preserve"> e del Responsabile</w:t>
      </w:r>
      <w:r w:rsidRPr="00B3371D">
        <w:rPr>
          <w:sz w:val="21"/>
        </w:rPr>
        <w:t xml:space="preserve"> Risorse Umane in ordine ai procedimenti disciplinari collegati all’osservanza del Piano e del Codice Etico.</w:t>
      </w:r>
    </w:p>
    <w:p w14:paraId="25969906" w14:textId="77777777" w:rsidR="00B3371D" w:rsidRPr="00B3371D" w:rsidRDefault="00B3371D" w:rsidP="00B3371D">
      <w:pPr>
        <w:spacing w:before="101" w:line="360" w:lineRule="auto"/>
        <w:ind w:left="851" w:right="780"/>
        <w:jc w:val="both"/>
        <w:rPr>
          <w:sz w:val="21"/>
        </w:rPr>
      </w:pPr>
      <w:r w:rsidRPr="00B3371D">
        <w:rPr>
          <w:sz w:val="21"/>
        </w:rPr>
        <w:t xml:space="preserve">RPCT, nonché i soggetti dei quali lo stesso, a qualsiasi titolo, si avvalga, sono tenuti a rispettare l’obbligo di riservatezza e il segreto d’ufficio su tutte le informazioni delle quali sono venuti a conoscenza nell’esercizio delle loro funzioni. </w:t>
      </w:r>
    </w:p>
    <w:p w14:paraId="1D794F7A" w14:textId="77777777" w:rsidR="00B3371D" w:rsidRPr="00B3371D" w:rsidRDefault="00B3371D" w:rsidP="00B3371D">
      <w:pPr>
        <w:spacing w:before="101" w:line="360" w:lineRule="auto"/>
        <w:ind w:left="851" w:right="780"/>
        <w:jc w:val="both"/>
        <w:rPr>
          <w:sz w:val="21"/>
        </w:rPr>
      </w:pPr>
      <w:r w:rsidRPr="00B3371D">
        <w:rPr>
          <w:sz w:val="21"/>
        </w:rPr>
        <w:lastRenderedPageBreak/>
        <w:t>RPCT stabilisce gli strumenti di raccordo ritenuti più opportuni per il conseguimento degli obiettivi del presente Piano, tra cui:</w:t>
      </w:r>
    </w:p>
    <w:p w14:paraId="51EABC0F" w14:textId="022B8AD5" w:rsidR="00B3371D" w:rsidRPr="00B3371D" w:rsidRDefault="00B3371D" w:rsidP="00D506C9">
      <w:pPr>
        <w:numPr>
          <w:ilvl w:val="0"/>
          <w:numId w:val="26"/>
        </w:numPr>
        <w:spacing w:before="101" w:line="360" w:lineRule="auto"/>
        <w:ind w:left="851" w:right="780" w:firstLine="0"/>
        <w:jc w:val="both"/>
        <w:rPr>
          <w:sz w:val="21"/>
        </w:rPr>
      </w:pPr>
      <w:r w:rsidRPr="00B3371D">
        <w:rPr>
          <w:sz w:val="21"/>
        </w:rPr>
        <w:t>confronti periodici di monitoraggio con Servizi/Uffici;</w:t>
      </w:r>
    </w:p>
    <w:p w14:paraId="353D62E4" w14:textId="77777777" w:rsidR="00B3371D" w:rsidRPr="00B3371D" w:rsidRDefault="00B3371D" w:rsidP="00D506C9">
      <w:pPr>
        <w:numPr>
          <w:ilvl w:val="0"/>
          <w:numId w:val="26"/>
        </w:numPr>
        <w:spacing w:before="101" w:line="360" w:lineRule="auto"/>
        <w:ind w:left="851" w:right="780" w:firstLine="0"/>
        <w:jc w:val="both"/>
        <w:rPr>
          <w:sz w:val="21"/>
        </w:rPr>
      </w:pPr>
      <w:r w:rsidRPr="00B3371D">
        <w:rPr>
          <w:sz w:val="21"/>
        </w:rPr>
        <w:t>riunioni immediate per i casi di eventuale urgenza;</w:t>
      </w:r>
    </w:p>
    <w:p w14:paraId="0F079DB2" w14:textId="77777777" w:rsidR="00B3371D" w:rsidRPr="00B3371D" w:rsidRDefault="00B3371D" w:rsidP="00D506C9">
      <w:pPr>
        <w:numPr>
          <w:ilvl w:val="0"/>
          <w:numId w:val="26"/>
        </w:numPr>
        <w:spacing w:before="101" w:line="360" w:lineRule="auto"/>
        <w:ind w:left="851" w:right="780" w:firstLine="0"/>
        <w:jc w:val="both"/>
        <w:rPr>
          <w:sz w:val="21"/>
        </w:rPr>
      </w:pPr>
      <w:r w:rsidRPr="00B3371D">
        <w:rPr>
          <w:sz w:val="21"/>
        </w:rPr>
        <w:t>meccanismi/sistemi di reportistica per permettere al Responsabile di conoscere tempestivamente elementi di rischio o altri elementi rilevanti ai fini del presente Piano che saranno basati, quando possibile, sull’utilizzo di sistemi informativi.</w:t>
      </w:r>
    </w:p>
    <w:p w14:paraId="3239797A" w14:textId="77777777" w:rsidR="00B3371D" w:rsidRPr="00B3371D" w:rsidRDefault="00B3371D" w:rsidP="00B3371D">
      <w:pPr>
        <w:spacing w:before="101" w:line="360" w:lineRule="auto"/>
        <w:ind w:left="851" w:right="780"/>
        <w:jc w:val="both"/>
        <w:rPr>
          <w:sz w:val="21"/>
        </w:rPr>
      </w:pPr>
      <w:r w:rsidRPr="00B3371D">
        <w:rPr>
          <w:sz w:val="21"/>
        </w:rPr>
        <w:t>Oltre che con l’</w:t>
      </w:r>
      <w:proofErr w:type="spellStart"/>
      <w:r w:rsidRPr="00B3371D">
        <w:rPr>
          <w:sz w:val="21"/>
        </w:rPr>
        <w:t>OdV</w:t>
      </w:r>
      <w:proofErr w:type="spellEnd"/>
      <w:r w:rsidRPr="00B3371D">
        <w:rPr>
          <w:sz w:val="21"/>
        </w:rPr>
        <w:t>, RPCT può relazionarsi con tutti i soggetti aziendali per garantire il corretto perseguimento degli obiettivi del presente Piano:</w:t>
      </w:r>
    </w:p>
    <w:p w14:paraId="61F5FF8E" w14:textId="77777777" w:rsidR="00B3371D" w:rsidRPr="00B3371D" w:rsidRDefault="00B3371D" w:rsidP="00D506C9">
      <w:pPr>
        <w:numPr>
          <w:ilvl w:val="0"/>
          <w:numId w:val="26"/>
        </w:numPr>
        <w:spacing w:before="101" w:line="360" w:lineRule="auto"/>
        <w:ind w:left="851" w:right="780" w:firstLine="0"/>
        <w:jc w:val="both"/>
        <w:rPr>
          <w:sz w:val="21"/>
        </w:rPr>
      </w:pPr>
      <w:r w:rsidRPr="00B3371D">
        <w:rPr>
          <w:sz w:val="21"/>
        </w:rPr>
        <w:t>soggetti incaricati dell’implementazione delle misure;</w:t>
      </w:r>
    </w:p>
    <w:p w14:paraId="5318B581" w14:textId="68A36656" w:rsidR="00B3371D" w:rsidRPr="00B3371D" w:rsidRDefault="00B3371D" w:rsidP="00D506C9">
      <w:pPr>
        <w:numPr>
          <w:ilvl w:val="0"/>
          <w:numId w:val="26"/>
        </w:numPr>
        <w:spacing w:before="101" w:line="360" w:lineRule="auto"/>
        <w:ind w:left="851" w:right="780" w:firstLine="0"/>
        <w:jc w:val="both"/>
        <w:rPr>
          <w:sz w:val="21"/>
        </w:rPr>
      </w:pPr>
      <w:r w:rsidRPr="00B3371D">
        <w:rPr>
          <w:sz w:val="21"/>
        </w:rPr>
        <w:t>referenti cui sono affidati compiti di relazione e segnalazione</w:t>
      </w:r>
      <w:r>
        <w:rPr>
          <w:sz w:val="21"/>
        </w:rPr>
        <w:t>.</w:t>
      </w:r>
    </w:p>
    <w:p w14:paraId="602B3D56" w14:textId="77777777" w:rsidR="00697C4F" w:rsidRPr="00697C4F" w:rsidRDefault="00697C4F" w:rsidP="00697C4F">
      <w:pPr>
        <w:spacing w:before="101" w:line="360" w:lineRule="auto"/>
        <w:ind w:left="851" w:right="780"/>
        <w:jc w:val="both"/>
        <w:rPr>
          <w:sz w:val="21"/>
        </w:rPr>
      </w:pPr>
      <w:r w:rsidRPr="00697C4F">
        <w:rPr>
          <w:sz w:val="21"/>
        </w:rPr>
        <w:t>RPCT ogni anno redige entro la data comunicata dall’A.N.AC. una relazione annuale che offre il rendiconto sull’efficacia e sul livello effettivo di attuazione delle misure di prevenzione definite dal Piano e cura i flussi informativi alle autorità competenti. La relazione è pubblicata sul sito istituzionale della Società.</w:t>
      </w:r>
    </w:p>
    <w:p w14:paraId="75DCECD2" w14:textId="517C3C3F" w:rsidR="00697C4F" w:rsidRPr="00697C4F" w:rsidRDefault="00B3371D" w:rsidP="00B3371D">
      <w:pPr>
        <w:pStyle w:val="Titolo1"/>
        <w:tabs>
          <w:tab w:val="left" w:pos="1037"/>
        </w:tabs>
        <w:spacing w:before="200" w:line="360" w:lineRule="auto"/>
        <w:ind w:left="851" w:right="939" w:firstLine="0"/>
        <w:jc w:val="both"/>
        <w:rPr>
          <w:smallCaps/>
        </w:rPr>
      </w:pPr>
      <w:bookmarkStart w:id="25" w:name="_Toc66185975"/>
      <w:bookmarkStart w:id="26" w:name="_Toc66838496"/>
      <w:bookmarkStart w:id="27" w:name="_Toc220506559"/>
      <w:r w:rsidRPr="00B3371D">
        <w:rPr>
          <w:smallCaps/>
        </w:rPr>
        <w:t>7.5</w:t>
      </w:r>
      <w:r w:rsidR="00697C4F" w:rsidRPr="00697C4F">
        <w:rPr>
          <w:smallCaps/>
        </w:rPr>
        <w:t xml:space="preserve"> Le Risorse a disposizione di RPCT</w:t>
      </w:r>
      <w:bookmarkEnd w:id="25"/>
      <w:bookmarkEnd w:id="26"/>
      <w:bookmarkEnd w:id="27"/>
    </w:p>
    <w:p w14:paraId="377639AA" w14:textId="681A0F63" w:rsidR="00697C4F" w:rsidRPr="00697C4F" w:rsidRDefault="00697C4F" w:rsidP="00697C4F">
      <w:pPr>
        <w:spacing w:before="101" w:line="360" w:lineRule="auto"/>
        <w:ind w:left="851" w:right="780"/>
        <w:jc w:val="both"/>
        <w:rPr>
          <w:sz w:val="21"/>
        </w:rPr>
      </w:pPr>
      <w:r w:rsidRPr="00697C4F">
        <w:rPr>
          <w:sz w:val="21"/>
        </w:rPr>
        <w:t xml:space="preserve">Pur garantita l’autonomia e il potere di impulso di RPCT, sono assenti in Società specifiche risorse dedicate poste a supporto del Responsabile; a tal fine, anche ai fini delle attività di monitoraggio e efficace attuazione del PTPCT, nonché di verifica della conformità delle pubblicazioni sul sito web aziendale, è stata specificata una funzione di supporto a carico di </w:t>
      </w:r>
      <w:proofErr w:type="spellStart"/>
      <w:r w:rsidRPr="00697C4F">
        <w:rPr>
          <w:sz w:val="21"/>
        </w:rPr>
        <w:t>OdV</w:t>
      </w:r>
      <w:proofErr w:type="spellEnd"/>
      <w:r w:rsidRPr="00697C4F">
        <w:rPr>
          <w:sz w:val="21"/>
        </w:rPr>
        <w:t xml:space="preserve">. </w:t>
      </w:r>
      <w:r w:rsidR="00B3371D">
        <w:rPr>
          <w:sz w:val="21"/>
        </w:rPr>
        <w:t>In materia di formazione del personale RPCT ha concordato con la funzione responsabile del personale i contenuti di specifici moduli da erogarsi ai dipendenti operativi di EBS, in modo da erogare detti contenuti unitamente alla formazione obbligatoria.</w:t>
      </w:r>
    </w:p>
    <w:p w14:paraId="4D8EEE85" w14:textId="4BD0AEC4" w:rsidR="00697C4F" w:rsidRPr="00697C4F" w:rsidRDefault="00B3371D" w:rsidP="00B3371D">
      <w:pPr>
        <w:pStyle w:val="Titolo1"/>
        <w:tabs>
          <w:tab w:val="left" w:pos="1037"/>
        </w:tabs>
        <w:spacing w:before="200" w:line="360" w:lineRule="auto"/>
        <w:ind w:left="851" w:right="939" w:firstLine="0"/>
        <w:jc w:val="both"/>
        <w:rPr>
          <w:smallCaps/>
        </w:rPr>
      </w:pPr>
      <w:bookmarkStart w:id="28" w:name="_Toc66185976"/>
      <w:bookmarkStart w:id="29" w:name="_Toc66838497"/>
      <w:bookmarkStart w:id="30" w:name="_Toc220506560"/>
      <w:r w:rsidRPr="00B3371D">
        <w:rPr>
          <w:smallCaps/>
        </w:rPr>
        <w:t>7.6</w:t>
      </w:r>
      <w:r w:rsidR="00697C4F" w:rsidRPr="00697C4F">
        <w:rPr>
          <w:smallCaps/>
        </w:rPr>
        <w:t xml:space="preserve"> Rapporti con Organi di Vigilanza e Controllo</w:t>
      </w:r>
      <w:bookmarkEnd w:id="28"/>
      <w:bookmarkEnd w:id="29"/>
      <w:bookmarkEnd w:id="30"/>
      <w:r w:rsidR="00697C4F" w:rsidRPr="00697C4F">
        <w:rPr>
          <w:smallCaps/>
        </w:rPr>
        <w:t xml:space="preserve"> </w:t>
      </w:r>
    </w:p>
    <w:p w14:paraId="7F615441" w14:textId="77777777" w:rsidR="00697C4F" w:rsidRPr="00697C4F" w:rsidRDefault="00697C4F" w:rsidP="00697C4F">
      <w:pPr>
        <w:spacing w:before="101" w:line="360" w:lineRule="auto"/>
        <w:ind w:left="851" w:right="780"/>
        <w:jc w:val="both"/>
        <w:rPr>
          <w:sz w:val="21"/>
        </w:rPr>
      </w:pPr>
      <w:r w:rsidRPr="00697C4F">
        <w:rPr>
          <w:sz w:val="21"/>
        </w:rPr>
        <w:t xml:space="preserve">RPCT deve garantire un idoneo flusso informativo utile a supportare gli organi di controllo e vigilanza nei rispettivi compiti e facilitare l’integrazione tra gli organismi aziendali deputati ad attività di </w:t>
      </w:r>
      <w:r w:rsidRPr="00697C4F">
        <w:rPr>
          <w:i/>
          <w:sz w:val="21"/>
        </w:rPr>
        <w:t>governance</w:t>
      </w:r>
      <w:r w:rsidRPr="00697C4F">
        <w:rPr>
          <w:sz w:val="21"/>
        </w:rPr>
        <w:t xml:space="preserve"> e di controllo favorendo il coordinamento e lo scambio dei rispettivi flussi informativi.</w:t>
      </w:r>
    </w:p>
    <w:p w14:paraId="53EA500D" w14:textId="77777777" w:rsidR="00697C4F" w:rsidRPr="00697C4F" w:rsidRDefault="00697C4F" w:rsidP="00697C4F">
      <w:pPr>
        <w:spacing w:before="101" w:line="360" w:lineRule="auto"/>
        <w:ind w:left="851" w:right="780"/>
        <w:jc w:val="both"/>
        <w:rPr>
          <w:sz w:val="21"/>
        </w:rPr>
      </w:pPr>
      <w:r w:rsidRPr="00697C4F">
        <w:rPr>
          <w:sz w:val="21"/>
        </w:rPr>
        <w:t xml:space="preserve">Si ricorda come tra i compiti di RPCT vi sia, altresì, quello di fornire adeguato riscontro ad eventuali richieste di chiarimenti e delucidazioni che dovessero pervenire </w:t>
      </w:r>
      <w:proofErr w:type="spellStart"/>
      <w:r w:rsidRPr="00697C4F">
        <w:rPr>
          <w:sz w:val="21"/>
        </w:rPr>
        <w:t>sal</w:t>
      </w:r>
      <w:proofErr w:type="spellEnd"/>
      <w:r w:rsidRPr="00697C4F">
        <w:rPr>
          <w:sz w:val="21"/>
        </w:rPr>
        <w:t xml:space="preserve"> Socio Comune di Santa Margherita e dal RPCT di quest’ultimo.</w:t>
      </w:r>
    </w:p>
    <w:p w14:paraId="5F0DE819" w14:textId="374833ED" w:rsidR="00697C4F" w:rsidRPr="00697C4F" w:rsidRDefault="00B3371D" w:rsidP="00B3371D">
      <w:pPr>
        <w:pStyle w:val="Titolo1"/>
        <w:tabs>
          <w:tab w:val="left" w:pos="1037"/>
        </w:tabs>
        <w:spacing w:before="200" w:line="360" w:lineRule="auto"/>
        <w:ind w:left="851" w:right="939" w:firstLine="0"/>
        <w:jc w:val="both"/>
        <w:rPr>
          <w:smallCaps/>
        </w:rPr>
      </w:pPr>
      <w:bookmarkStart w:id="31" w:name="_Toc66185978"/>
      <w:bookmarkStart w:id="32" w:name="_Toc66838498"/>
      <w:bookmarkStart w:id="33" w:name="_Toc220506561"/>
      <w:r>
        <w:rPr>
          <w:smallCaps/>
        </w:rPr>
        <w:t>7.7</w:t>
      </w:r>
      <w:r w:rsidR="00697C4F" w:rsidRPr="00697C4F">
        <w:rPr>
          <w:smallCaps/>
        </w:rPr>
        <w:t xml:space="preserve"> Misure a tutela di RPCT</w:t>
      </w:r>
      <w:bookmarkEnd w:id="31"/>
      <w:bookmarkEnd w:id="32"/>
      <w:bookmarkEnd w:id="33"/>
      <w:r w:rsidR="00697C4F" w:rsidRPr="00697C4F">
        <w:rPr>
          <w:smallCaps/>
        </w:rPr>
        <w:t xml:space="preserve"> </w:t>
      </w:r>
    </w:p>
    <w:p w14:paraId="338DFE12" w14:textId="77777777" w:rsidR="00697C4F" w:rsidRPr="00697C4F" w:rsidRDefault="00697C4F" w:rsidP="00697C4F">
      <w:pPr>
        <w:spacing w:before="101" w:line="360" w:lineRule="auto"/>
        <w:ind w:left="851" w:right="780"/>
        <w:jc w:val="both"/>
        <w:rPr>
          <w:sz w:val="21"/>
        </w:rPr>
      </w:pPr>
      <w:r w:rsidRPr="00697C4F">
        <w:rPr>
          <w:sz w:val="21"/>
        </w:rPr>
        <w:lastRenderedPageBreak/>
        <w:t>RPCT deve poter svolgere i compiti affidatigli in modo imparziale e al riparo da possibili ritorsioni. A tal fine:</w:t>
      </w:r>
    </w:p>
    <w:p w14:paraId="6958BD19" w14:textId="77777777" w:rsidR="00697C4F" w:rsidRPr="00697C4F" w:rsidRDefault="00697C4F" w:rsidP="00697C4F">
      <w:pPr>
        <w:spacing w:before="101" w:line="360" w:lineRule="auto"/>
        <w:ind w:left="851" w:right="780"/>
        <w:jc w:val="both"/>
        <w:rPr>
          <w:sz w:val="21"/>
        </w:rPr>
      </w:pPr>
      <w:r w:rsidRPr="00697C4F">
        <w:rPr>
          <w:sz w:val="21"/>
        </w:rPr>
        <w:t>a)</w:t>
      </w:r>
      <w:r w:rsidRPr="00697C4F">
        <w:rPr>
          <w:sz w:val="21"/>
        </w:rPr>
        <w:tab/>
        <w:t>la funzione di RPCT può essere revocata dall’Organo Amministrativo solo per giusta causa;</w:t>
      </w:r>
    </w:p>
    <w:p w14:paraId="0C5B49A4" w14:textId="77777777" w:rsidR="00697C4F" w:rsidRPr="00697C4F" w:rsidRDefault="00697C4F" w:rsidP="00697C4F">
      <w:pPr>
        <w:spacing w:before="101" w:line="360" w:lineRule="auto"/>
        <w:ind w:left="851" w:right="780"/>
        <w:jc w:val="both"/>
        <w:rPr>
          <w:sz w:val="21"/>
        </w:rPr>
      </w:pPr>
      <w:r w:rsidRPr="00697C4F">
        <w:rPr>
          <w:sz w:val="21"/>
        </w:rPr>
        <w:t>b)</w:t>
      </w:r>
      <w:r w:rsidRPr="00697C4F">
        <w:rPr>
          <w:sz w:val="21"/>
        </w:rPr>
        <w:tab/>
        <w:t>rimane fermo l’obbligo di rotazione e la conseguente revoca dell’incarico nel caso in cui, nei confronti del Responsabile, siano stati avviati provvedimenti penali per condotte di natura corruttiva;</w:t>
      </w:r>
    </w:p>
    <w:p w14:paraId="2524DF16" w14:textId="77777777" w:rsidR="00697C4F" w:rsidRPr="00697C4F" w:rsidRDefault="00697C4F" w:rsidP="00697C4F">
      <w:pPr>
        <w:spacing w:before="101" w:line="360" w:lineRule="auto"/>
        <w:ind w:left="851" w:right="780"/>
        <w:jc w:val="both"/>
        <w:rPr>
          <w:sz w:val="21"/>
        </w:rPr>
      </w:pPr>
      <w:r w:rsidRPr="00697C4F">
        <w:rPr>
          <w:sz w:val="21"/>
        </w:rPr>
        <w:t>c)</w:t>
      </w:r>
      <w:r w:rsidRPr="00697C4F">
        <w:rPr>
          <w:sz w:val="21"/>
        </w:rPr>
        <w:tab/>
        <w:t>nei casi di cui alle precedenti lett. a) e b), così come in caso di risoluzione del contratto di lavoro del nominato RPCT, si applica la disciplina di cui all’art. 15 del D.lgs. 39/2013, che dispone la comunicazione all’A.N.AC. della contestazione affinché questa possa formulare una richiesta di riesame prima che la risoluzione divenga efficace.</w:t>
      </w:r>
    </w:p>
    <w:p w14:paraId="128F25E9" w14:textId="7445178B" w:rsidR="00697C4F" w:rsidRPr="00697C4F" w:rsidRDefault="00B3371D" w:rsidP="00B3371D">
      <w:pPr>
        <w:pStyle w:val="Titolo1"/>
        <w:tabs>
          <w:tab w:val="left" w:pos="1037"/>
        </w:tabs>
        <w:spacing w:before="200" w:line="360" w:lineRule="auto"/>
        <w:ind w:left="851" w:right="939" w:firstLine="0"/>
        <w:jc w:val="both"/>
        <w:rPr>
          <w:smallCaps/>
        </w:rPr>
      </w:pPr>
      <w:bookmarkStart w:id="34" w:name="_Toc66185979"/>
      <w:bookmarkStart w:id="35" w:name="_Toc66838499"/>
      <w:bookmarkStart w:id="36" w:name="_Toc220506562"/>
      <w:r w:rsidRPr="00B3371D">
        <w:rPr>
          <w:smallCaps/>
        </w:rPr>
        <w:t xml:space="preserve">7.8 </w:t>
      </w:r>
      <w:bookmarkStart w:id="37" w:name="_Toc66185980"/>
      <w:bookmarkEnd w:id="34"/>
      <w:proofErr w:type="spellStart"/>
      <w:r w:rsidR="00697C4F" w:rsidRPr="00697C4F">
        <w:rPr>
          <w:smallCaps/>
        </w:rPr>
        <w:t>OdV</w:t>
      </w:r>
      <w:proofErr w:type="spellEnd"/>
      <w:r w:rsidR="00697C4F" w:rsidRPr="00697C4F">
        <w:rPr>
          <w:smallCaps/>
        </w:rPr>
        <w:t xml:space="preserve"> e Rapporti con RPCT</w:t>
      </w:r>
      <w:bookmarkEnd w:id="35"/>
      <w:bookmarkEnd w:id="36"/>
      <w:bookmarkEnd w:id="37"/>
    </w:p>
    <w:p w14:paraId="18AE2A19" w14:textId="5DA593B4" w:rsidR="00697C4F" w:rsidRPr="00697C4F" w:rsidRDefault="00697C4F" w:rsidP="00697C4F">
      <w:pPr>
        <w:spacing w:before="101" w:line="360" w:lineRule="auto"/>
        <w:ind w:left="851" w:right="780"/>
        <w:jc w:val="both"/>
        <w:rPr>
          <w:sz w:val="21"/>
        </w:rPr>
      </w:pPr>
      <w:r w:rsidRPr="00697C4F">
        <w:rPr>
          <w:sz w:val="21"/>
        </w:rPr>
        <w:t xml:space="preserve">Pur nel rispetto della reciproca e rispettiva autonomia, propria dei due ruoli e della distinzione tra gli stessi anche in termini di responsabilità attribuite e perimetri d’intervento, alla luce dell’integrazione tra il Piano Triennale di Prevenzione della Corruzione e il Modello di Organizzazione, Gestione e Controllo ex D.lgs. 231/2001, RPCT svolge le proprie attività in coordinamento con </w:t>
      </w:r>
      <w:proofErr w:type="spellStart"/>
      <w:r w:rsidRPr="00697C4F">
        <w:rPr>
          <w:sz w:val="21"/>
        </w:rPr>
        <w:t>OdV</w:t>
      </w:r>
      <w:proofErr w:type="spellEnd"/>
      <w:r w:rsidR="004C744A">
        <w:rPr>
          <w:sz w:val="21"/>
        </w:rPr>
        <w:t xml:space="preserve">: ed infatti, </w:t>
      </w:r>
      <w:r w:rsidR="004C744A" w:rsidRPr="004C744A">
        <w:rPr>
          <w:sz w:val="21"/>
        </w:rPr>
        <w:t>come previsto da Anac in determina 1134/2017</w:t>
      </w:r>
      <w:r w:rsidR="004C744A">
        <w:rPr>
          <w:sz w:val="21"/>
        </w:rPr>
        <w:t>,</w:t>
      </w:r>
      <w:r w:rsidR="004C744A" w:rsidRPr="004C744A">
        <w:rPr>
          <w:sz w:val="21"/>
        </w:rPr>
        <w:t xml:space="preserve"> «</w:t>
      </w:r>
      <w:r w:rsidR="004C744A" w:rsidRPr="004C744A">
        <w:rPr>
          <w:i/>
          <w:sz w:val="21"/>
        </w:rPr>
        <w:t>le misure volte alla prevenzione della corruzione ex lege n.190 del 2012 sono elaborate dal Responsabile della prevenzione della corruzione in stretto coordinamento con l’Organismo di vigilanza</w:t>
      </w:r>
      <w:r w:rsidR="004C744A" w:rsidRPr="004C744A">
        <w:rPr>
          <w:sz w:val="21"/>
        </w:rPr>
        <w:t>» (pag.22 Determina 1134</w:t>
      </w:r>
      <w:r w:rsidR="004C744A">
        <w:rPr>
          <w:sz w:val="21"/>
        </w:rPr>
        <w:t>).</w:t>
      </w:r>
    </w:p>
    <w:p w14:paraId="6C91BB60" w14:textId="36F6964A" w:rsidR="00697C4F" w:rsidRDefault="00697C4F" w:rsidP="00697C4F">
      <w:pPr>
        <w:spacing w:before="101" w:line="360" w:lineRule="auto"/>
        <w:ind w:left="851" w:right="780"/>
        <w:jc w:val="both"/>
        <w:rPr>
          <w:sz w:val="21"/>
        </w:rPr>
      </w:pPr>
      <w:proofErr w:type="spellStart"/>
      <w:r w:rsidRPr="00697C4F">
        <w:rPr>
          <w:sz w:val="21"/>
        </w:rPr>
        <w:t>OdV</w:t>
      </w:r>
      <w:proofErr w:type="spellEnd"/>
      <w:r w:rsidRPr="00697C4F">
        <w:rPr>
          <w:sz w:val="21"/>
        </w:rPr>
        <w:t xml:space="preserve"> dovrà segnalare al RPCT situazioni non direttamente rilevanti ai sensi e per gli effetti del D.lgs. 231/2001, ma di potenziale attinenza al sistema dei controlli introdotti dal PTPCT.</w:t>
      </w:r>
    </w:p>
    <w:p w14:paraId="2DCE37DB" w14:textId="538DA808" w:rsidR="00697C4F" w:rsidRPr="00697C4F" w:rsidRDefault="00B3371D" w:rsidP="00B3371D">
      <w:pPr>
        <w:pStyle w:val="Titolo1"/>
        <w:tabs>
          <w:tab w:val="left" w:pos="1037"/>
        </w:tabs>
        <w:spacing w:before="200" w:line="360" w:lineRule="auto"/>
        <w:ind w:left="851" w:right="939" w:firstLine="0"/>
        <w:jc w:val="both"/>
        <w:rPr>
          <w:smallCaps/>
        </w:rPr>
      </w:pPr>
      <w:bookmarkStart w:id="38" w:name="_Toc66185981"/>
      <w:bookmarkStart w:id="39" w:name="_Toc66838500"/>
      <w:bookmarkStart w:id="40" w:name="_Toc220506563"/>
      <w:r>
        <w:rPr>
          <w:smallCaps/>
        </w:rPr>
        <w:t>7.9</w:t>
      </w:r>
      <w:r w:rsidR="00697C4F" w:rsidRPr="00697C4F">
        <w:rPr>
          <w:smallCaps/>
        </w:rPr>
        <w:t xml:space="preserve"> OIV o Soggetto con Funzioni analoghe</w:t>
      </w:r>
      <w:bookmarkEnd w:id="38"/>
      <w:bookmarkEnd w:id="39"/>
      <w:bookmarkEnd w:id="40"/>
    </w:p>
    <w:p w14:paraId="5B418846" w14:textId="77777777" w:rsidR="00697C4F" w:rsidRPr="00697C4F" w:rsidRDefault="00697C4F" w:rsidP="00697C4F">
      <w:pPr>
        <w:spacing w:before="101" w:line="360" w:lineRule="auto"/>
        <w:ind w:left="851" w:right="780"/>
        <w:jc w:val="both"/>
        <w:rPr>
          <w:sz w:val="21"/>
        </w:rPr>
      </w:pPr>
      <w:r w:rsidRPr="00697C4F">
        <w:rPr>
          <w:sz w:val="21"/>
        </w:rPr>
        <w:t>In Delibera n. 1134/2017 A.N.AC. indica che la definizione dei nuovi compiti di controllo degli OIV nel sistema di prevenzione della corruzione e trasparenza induca a ritenere che, anche nelle società, occorra individuare il soggetto più idoneo allo svolgimento delle medesime funzioni. È avviso dell’Autorità che le società attribuiscano tali compiti, di ulteriore supporto e verifica del corretto adempimento degli obblighi di legge, all’organo interno di controllo reputato più idoneo, ovvero all’</w:t>
      </w:r>
      <w:proofErr w:type="spellStart"/>
      <w:r w:rsidRPr="00697C4F">
        <w:rPr>
          <w:sz w:val="21"/>
        </w:rPr>
        <w:t>OdV</w:t>
      </w:r>
      <w:proofErr w:type="spellEnd"/>
      <w:r w:rsidRPr="00697C4F">
        <w:rPr>
          <w:sz w:val="21"/>
        </w:rPr>
        <w:t xml:space="preserve"> o altro organo.</w:t>
      </w:r>
    </w:p>
    <w:p w14:paraId="7C15DCB6" w14:textId="77777777" w:rsidR="00697C4F" w:rsidRPr="00697C4F" w:rsidRDefault="00697C4F" w:rsidP="00697C4F">
      <w:pPr>
        <w:spacing w:before="101" w:line="360" w:lineRule="auto"/>
        <w:ind w:left="851" w:right="780"/>
        <w:jc w:val="both"/>
        <w:rPr>
          <w:sz w:val="21"/>
        </w:rPr>
      </w:pPr>
      <w:r w:rsidRPr="00697C4F">
        <w:rPr>
          <w:sz w:val="21"/>
        </w:rPr>
        <w:t>La funzioni di OIV, limitatamente alla funzione di attestare il corretto assolvimento degli obblighi di pubblicazione, tramite la redazione delle griglie di rilevazione e le attestazioni predisposte da Anac, in ragione delle gravi responsabilità connesse alla omessa e/o errata pubblicazione degli stessi, risultano attribuite all’</w:t>
      </w:r>
      <w:proofErr w:type="spellStart"/>
      <w:r w:rsidRPr="00697C4F">
        <w:rPr>
          <w:sz w:val="21"/>
        </w:rPr>
        <w:t>OdV</w:t>
      </w:r>
      <w:proofErr w:type="spellEnd"/>
      <w:r w:rsidRPr="00697C4F">
        <w:rPr>
          <w:sz w:val="21"/>
        </w:rPr>
        <w:t>.</w:t>
      </w:r>
    </w:p>
    <w:p w14:paraId="6DC138E9" w14:textId="08A686FF" w:rsidR="00697C4F" w:rsidRPr="00697C4F" w:rsidRDefault="00B3371D" w:rsidP="00B3371D">
      <w:pPr>
        <w:pStyle w:val="Titolo1"/>
        <w:tabs>
          <w:tab w:val="left" w:pos="1037"/>
        </w:tabs>
        <w:spacing w:before="200" w:line="360" w:lineRule="auto"/>
        <w:ind w:left="851" w:right="939" w:firstLine="0"/>
        <w:jc w:val="both"/>
        <w:rPr>
          <w:smallCaps/>
        </w:rPr>
      </w:pPr>
      <w:bookmarkStart w:id="41" w:name="_Toc66185982"/>
      <w:bookmarkStart w:id="42" w:name="_Toc66838501"/>
      <w:bookmarkStart w:id="43" w:name="_Toc220506564"/>
      <w:r w:rsidRPr="00B3371D">
        <w:rPr>
          <w:smallCaps/>
        </w:rPr>
        <w:lastRenderedPageBreak/>
        <w:t>7.10</w:t>
      </w:r>
      <w:r w:rsidR="00697C4F" w:rsidRPr="00697C4F">
        <w:rPr>
          <w:smallCaps/>
        </w:rPr>
        <w:t xml:space="preserve"> Coinvolgimento dei Dipendenti nella Predisposizione ed attuazione del PTPCT</w:t>
      </w:r>
      <w:bookmarkEnd w:id="41"/>
      <w:bookmarkEnd w:id="42"/>
      <w:bookmarkEnd w:id="43"/>
    </w:p>
    <w:p w14:paraId="28B13A28" w14:textId="3EDBC9F6" w:rsidR="00697C4F" w:rsidRPr="00697C4F" w:rsidRDefault="00697C4F" w:rsidP="00697C4F">
      <w:pPr>
        <w:spacing w:before="101" w:line="360" w:lineRule="auto"/>
        <w:ind w:left="851" w:right="780"/>
        <w:jc w:val="both"/>
        <w:rPr>
          <w:sz w:val="21"/>
        </w:rPr>
      </w:pPr>
      <w:r w:rsidRPr="00697C4F">
        <w:rPr>
          <w:sz w:val="21"/>
        </w:rPr>
        <w:t>Responsabilità generali nell’attuazione del Piano, per quanto di rispettiva competenza, sono attribuite, all’Organo Amministrativo e a tutto il personale a qualsiasi titolo occupato presso l</w:t>
      </w:r>
      <w:r w:rsidR="00B3371D">
        <w:rPr>
          <w:sz w:val="21"/>
        </w:rPr>
        <w:t>e</w:t>
      </w:r>
      <w:r w:rsidRPr="00697C4F">
        <w:rPr>
          <w:sz w:val="21"/>
        </w:rPr>
        <w:t xml:space="preserve"> Società</w:t>
      </w:r>
      <w:r w:rsidR="00B3371D">
        <w:rPr>
          <w:sz w:val="21"/>
        </w:rPr>
        <w:t xml:space="preserve"> (con tutta evidenza, in particolare presso EBS)</w:t>
      </w:r>
      <w:r w:rsidRPr="00697C4F">
        <w:rPr>
          <w:sz w:val="21"/>
        </w:rPr>
        <w:t>.</w:t>
      </w:r>
    </w:p>
    <w:p w14:paraId="3210DF95" w14:textId="77777777" w:rsidR="00697C4F" w:rsidRPr="00697C4F" w:rsidRDefault="00697C4F" w:rsidP="00697C4F">
      <w:pPr>
        <w:spacing w:before="101" w:line="360" w:lineRule="auto"/>
        <w:ind w:left="851" w:right="780"/>
        <w:jc w:val="both"/>
        <w:rPr>
          <w:sz w:val="21"/>
        </w:rPr>
      </w:pPr>
      <w:r w:rsidRPr="00697C4F">
        <w:rPr>
          <w:sz w:val="21"/>
        </w:rPr>
        <w:t>I dipendenti debbono prestare la propria attiva collaborazione a RPCT e, in seguito, rispettare le prescrizioni contenute nel PTPCT.</w:t>
      </w:r>
    </w:p>
    <w:p w14:paraId="4C5E22CE" w14:textId="342057D4" w:rsidR="00697C4F" w:rsidRPr="00697C4F" w:rsidRDefault="00B3371D" w:rsidP="00B3371D">
      <w:pPr>
        <w:pStyle w:val="Titolo1"/>
        <w:tabs>
          <w:tab w:val="left" w:pos="1037"/>
        </w:tabs>
        <w:spacing w:before="200" w:line="360" w:lineRule="auto"/>
        <w:ind w:left="851" w:right="939" w:firstLine="0"/>
        <w:jc w:val="both"/>
        <w:rPr>
          <w:smallCaps/>
        </w:rPr>
      </w:pPr>
      <w:bookmarkStart w:id="44" w:name="_Toc66185983"/>
      <w:bookmarkStart w:id="45" w:name="_Toc66838502"/>
      <w:bookmarkStart w:id="46" w:name="_Toc220506565"/>
      <w:r>
        <w:rPr>
          <w:smallCaps/>
        </w:rPr>
        <w:t xml:space="preserve">7.11 </w:t>
      </w:r>
      <w:r w:rsidR="00697C4F" w:rsidRPr="00697C4F">
        <w:rPr>
          <w:smallCaps/>
        </w:rPr>
        <w:t>Responsabili</w:t>
      </w:r>
      <w:r>
        <w:rPr>
          <w:smallCaps/>
        </w:rPr>
        <w:t xml:space="preserve">/Referenti </w:t>
      </w:r>
      <w:r w:rsidR="00697C4F" w:rsidRPr="00697C4F">
        <w:rPr>
          <w:smallCaps/>
        </w:rPr>
        <w:t>di Area</w:t>
      </w:r>
      <w:bookmarkEnd w:id="44"/>
      <w:bookmarkEnd w:id="45"/>
      <w:bookmarkEnd w:id="46"/>
    </w:p>
    <w:p w14:paraId="526A2435" w14:textId="2A1DEA00" w:rsidR="00697C4F" w:rsidRPr="00697C4F" w:rsidRDefault="00697C4F" w:rsidP="00697C4F">
      <w:pPr>
        <w:spacing w:before="101" w:line="360" w:lineRule="auto"/>
        <w:ind w:left="851" w:right="780"/>
        <w:jc w:val="both"/>
        <w:rPr>
          <w:sz w:val="21"/>
        </w:rPr>
      </w:pPr>
      <w:proofErr w:type="gramStart"/>
      <w:r w:rsidRPr="00697C4F">
        <w:rPr>
          <w:sz w:val="21"/>
        </w:rPr>
        <w:t>E’</w:t>
      </w:r>
      <w:proofErr w:type="gramEnd"/>
      <w:r w:rsidRPr="00697C4F">
        <w:rPr>
          <w:sz w:val="21"/>
        </w:rPr>
        <w:t xml:space="preserve"> stat</w:t>
      </w:r>
      <w:r w:rsidR="00B3371D">
        <w:rPr>
          <w:sz w:val="21"/>
        </w:rPr>
        <w:t>a</w:t>
      </w:r>
      <w:r w:rsidRPr="00697C4F">
        <w:rPr>
          <w:sz w:val="21"/>
        </w:rPr>
        <w:t xml:space="preserve"> anticipata l’assenza di dirigenti e/o quadri. I cd. “referenti” di ciascuna macro-area, per l’area di rispettiva competenza, partecipano all’attuazione del presente Piano, adottando le azioni ivi previste e necessarie per garantirne il rispetto. Essi inoltre, sulla base delle esperienze maturate nei settori funzionali cui sono preposti, concorrono all’elaborazione di proposte volte alla prevenzione del rischio corruzione e all’integrazione del Piano.</w:t>
      </w:r>
    </w:p>
    <w:p w14:paraId="4CFBEA42" w14:textId="77777777" w:rsidR="00697C4F" w:rsidRPr="00697C4F" w:rsidRDefault="00697C4F" w:rsidP="00697C4F">
      <w:pPr>
        <w:spacing w:before="101" w:line="360" w:lineRule="auto"/>
        <w:ind w:left="851" w:right="780"/>
        <w:jc w:val="both"/>
        <w:rPr>
          <w:sz w:val="21"/>
        </w:rPr>
      </w:pPr>
      <w:r w:rsidRPr="00697C4F">
        <w:rPr>
          <w:sz w:val="21"/>
        </w:rPr>
        <w:t>I titolari dei processi/attività a rischio corruzione sono, in sintesi, tenuti a:</w:t>
      </w:r>
    </w:p>
    <w:p w14:paraId="7756BA1E" w14:textId="77777777" w:rsidR="00697C4F" w:rsidRPr="00697C4F" w:rsidRDefault="00697C4F" w:rsidP="00D506C9">
      <w:pPr>
        <w:numPr>
          <w:ilvl w:val="0"/>
          <w:numId w:val="26"/>
        </w:numPr>
        <w:spacing w:before="101" w:line="360" w:lineRule="auto"/>
        <w:ind w:left="851" w:right="780" w:firstLine="0"/>
        <w:jc w:val="both"/>
        <w:rPr>
          <w:sz w:val="21"/>
        </w:rPr>
      </w:pPr>
      <w:r w:rsidRPr="00697C4F">
        <w:rPr>
          <w:sz w:val="21"/>
        </w:rPr>
        <w:t>svolgere attività informativa nei confronti del RPCT, assicurando la completezza e la tempestività del flusso informativo;</w:t>
      </w:r>
    </w:p>
    <w:p w14:paraId="552F106D" w14:textId="77777777" w:rsidR="00697C4F" w:rsidRPr="00697C4F" w:rsidRDefault="00697C4F" w:rsidP="00D506C9">
      <w:pPr>
        <w:numPr>
          <w:ilvl w:val="0"/>
          <w:numId w:val="26"/>
        </w:numPr>
        <w:spacing w:before="101" w:line="360" w:lineRule="auto"/>
        <w:ind w:left="851" w:right="780" w:firstLine="0"/>
        <w:jc w:val="both"/>
        <w:rPr>
          <w:sz w:val="21"/>
        </w:rPr>
      </w:pPr>
      <w:r w:rsidRPr="00697C4F">
        <w:rPr>
          <w:sz w:val="21"/>
        </w:rPr>
        <w:t>partecipare al processo di gestione del rischio, collaborando con il Responsabile per individuare le misure di prevenzione specifiche dei processi dai medesimi gestiti;</w:t>
      </w:r>
    </w:p>
    <w:p w14:paraId="0996056F" w14:textId="77777777" w:rsidR="00697C4F" w:rsidRPr="00697C4F" w:rsidRDefault="00697C4F" w:rsidP="00D506C9">
      <w:pPr>
        <w:numPr>
          <w:ilvl w:val="0"/>
          <w:numId w:val="26"/>
        </w:numPr>
        <w:spacing w:before="101" w:line="360" w:lineRule="auto"/>
        <w:ind w:left="851" w:right="780" w:firstLine="0"/>
        <w:jc w:val="both"/>
        <w:rPr>
          <w:sz w:val="21"/>
        </w:rPr>
      </w:pPr>
      <w:r w:rsidRPr="00697C4F">
        <w:rPr>
          <w:sz w:val="21"/>
        </w:rPr>
        <w:t>assicurare l’osservanza del Codice Etico, del Codice di Comportamento, dei Principi Generali di Comportamento e l’attuazione delle misure di prevenzione programmate nel Piano;</w:t>
      </w:r>
    </w:p>
    <w:p w14:paraId="5B5B3303" w14:textId="77777777" w:rsidR="00697C4F" w:rsidRPr="00697C4F" w:rsidRDefault="00697C4F" w:rsidP="00D506C9">
      <w:pPr>
        <w:numPr>
          <w:ilvl w:val="0"/>
          <w:numId w:val="26"/>
        </w:numPr>
        <w:spacing w:before="101" w:line="360" w:lineRule="auto"/>
        <w:ind w:left="851" w:right="780" w:firstLine="0"/>
        <w:jc w:val="both"/>
        <w:rPr>
          <w:sz w:val="21"/>
        </w:rPr>
      </w:pPr>
      <w:r w:rsidRPr="00697C4F">
        <w:rPr>
          <w:sz w:val="21"/>
        </w:rPr>
        <w:t>verificare e garantire l’esattezza e la completezza dei dati pubblicati/da pubblicare;</w:t>
      </w:r>
    </w:p>
    <w:p w14:paraId="54C0E310" w14:textId="77777777" w:rsidR="00697C4F" w:rsidRPr="00697C4F" w:rsidRDefault="00697C4F" w:rsidP="00D506C9">
      <w:pPr>
        <w:numPr>
          <w:ilvl w:val="0"/>
          <w:numId w:val="26"/>
        </w:numPr>
        <w:spacing w:before="101" w:line="360" w:lineRule="auto"/>
        <w:ind w:left="851" w:right="780" w:firstLine="0"/>
        <w:jc w:val="both"/>
        <w:rPr>
          <w:sz w:val="21"/>
        </w:rPr>
      </w:pPr>
      <w:r w:rsidRPr="00697C4F">
        <w:rPr>
          <w:sz w:val="21"/>
        </w:rPr>
        <w:t>aggiornare periodicamente RPCT sullo stato di attuazione delle misure previste dal Piano o sulle eventuali criticità riscontrate.</w:t>
      </w:r>
    </w:p>
    <w:p w14:paraId="06D3C903" w14:textId="77777777" w:rsidR="00697C4F" w:rsidRPr="00697C4F" w:rsidRDefault="00697C4F" w:rsidP="00697C4F">
      <w:pPr>
        <w:spacing w:before="101" w:line="360" w:lineRule="auto"/>
        <w:ind w:left="851" w:right="780"/>
        <w:jc w:val="both"/>
        <w:rPr>
          <w:sz w:val="21"/>
        </w:rPr>
      </w:pPr>
      <w:r w:rsidRPr="00697C4F">
        <w:rPr>
          <w:sz w:val="21"/>
        </w:rPr>
        <w:t>Il mancato adempimento degli obblighi informativi nei confronti del RPCT, nelle circostanze sopra indicate, è suscettibile di essere sanzionato disciplinarmente.</w:t>
      </w:r>
    </w:p>
    <w:p w14:paraId="05D336A9" w14:textId="77777777" w:rsidR="00697C4F" w:rsidRPr="00697C4F" w:rsidRDefault="00697C4F" w:rsidP="00697C4F">
      <w:pPr>
        <w:spacing w:before="101" w:line="360" w:lineRule="auto"/>
        <w:ind w:left="851" w:right="780"/>
        <w:jc w:val="both"/>
        <w:rPr>
          <w:sz w:val="21"/>
        </w:rPr>
      </w:pPr>
      <w:r w:rsidRPr="00697C4F">
        <w:rPr>
          <w:sz w:val="21"/>
        </w:rPr>
        <w:t>Inoltre il dipendente, fermo restando l’obbligo di denuncia all’autorità giudiziaria, segnala al proprio superiore gerarchico eventuali situazioni di illecito di cui sia venuto a conoscenza.</w:t>
      </w:r>
    </w:p>
    <w:p w14:paraId="12E49836" w14:textId="57D8DB00" w:rsidR="00697C4F" w:rsidRDefault="00697C4F" w:rsidP="00697C4F">
      <w:pPr>
        <w:spacing w:before="101" w:line="360" w:lineRule="auto"/>
        <w:ind w:left="851" w:right="780"/>
        <w:jc w:val="both"/>
        <w:rPr>
          <w:sz w:val="21"/>
        </w:rPr>
      </w:pPr>
      <w:r w:rsidRPr="00697C4F">
        <w:rPr>
          <w:sz w:val="21"/>
        </w:rPr>
        <w:t xml:space="preserve">Il dipendente è tenuto a segnalare ogni eventuale violazione, presunta o conclamata, del PTPCT e/o della normativa interna e/o esterna, dei principi etici, da parte della Società, di un collega, di </w:t>
      </w:r>
      <w:r w:rsidRPr="002F2DA9">
        <w:rPr>
          <w:sz w:val="21"/>
        </w:rPr>
        <w:t>un collaboratore o di una terza parte,</w:t>
      </w:r>
      <w:r w:rsidRPr="00697C4F">
        <w:rPr>
          <w:sz w:val="21"/>
        </w:rPr>
        <w:t xml:space="preserve"> ivi comprese le richieste o le offerte di pagamenti indebiti da queste ricevute.</w:t>
      </w:r>
    </w:p>
    <w:p w14:paraId="35568490" w14:textId="0429275A" w:rsidR="00A26C74" w:rsidRDefault="002F2DA9" w:rsidP="00697C4F">
      <w:pPr>
        <w:spacing w:before="101" w:line="360" w:lineRule="auto"/>
        <w:ind w:left="851" w:right="780"/>
        <w:jc w:val="both"/>
        <w:rPr>
          <w:sz w:val="21"/>
        </w:rPr>
      </w:pPr>
      <w:r>
        <w:rPr>
          <w:sz w:val="21"/>
        </w:rPr>
        <w:t xml:space="preserve">Si evidenzia come ai fini della predisposizione del presente PTPCT, a valle dei consueti </w:t>
      </w:r>
      <w:r>
        <w:rPr>
          <w:sz w:val="21"/>
        </w:rPr>
        <w:lastRenderedPageBreak/>
        <w:t xml:space="preserve">confronti di prassi nel corso del 2022, in data 16.01.2023 sia occorso un incontro con i referenti di area, al fine di illustrare la bozza del Piano, condividerne i contenuti e raccogliere eventuali contributi. </w:t>
      </w:r>
    </w:p>
    <w:p w14:paraId="0DDD42DB" w14:textId="1807AF37" w:rsidR="00444A55" w:rsidRDefault="00444A55" w:rsidP="00D506C9">
      <w:pPr>
        <w:pStyle w:val="Titolo1"/>
        <w:numPr>
          <w:ilvl w:val="0"/>
          <w:numId w:val="12"/>
        </w:numPr>
        <w:tabs>
          <w:tab w:val="left" w:pos="1037"/>
        </w:tabs>
        <w:spacing w:before="200" w:line="360" w:lineRule="auto"/>
        <w:ind w:left="851" w:right="939" w:firstLine="0"/>
        <w:jc w:val="both"/>
        <w:rPr>
          <w:smallCaps/>
        </w:rPr>
      </w:pPr>
      <w:bookmarkStart w:id="47" w:name="_Toc220506566"/>
      <w:r>
        <w:rPr>
          <w:smallCaps/>
        </w:rPr>
        <w:t>Il PTPCT 202</w:t>
      </w:r>
      <w:r w:rsidR="00623BE7">
        <w:rPr>
          <w:smallCaps/>
        </w:rPr>
        <w:t>6</w:t>
      </w:r>
      <w:r>
        <w:rPr>
          <w:smallCaps/>
        </w:rPr>
        <w:t>-202</w:t>
      </w:r>
      <w:r w:rsidR="00623BE7">
        <w:rPr>
          <w:smallCaps/>
        </w:rPr>
        <w:t>8</w:t>
      </w:r>
      <w:bookmarkEnd w:id="47"/>
    </w:p>
    <w:p w14:paraId="50D3B8A3" w14:textId="2909518E" w:rsidR="00444A55" w:rsidRPr="00444A55" w:rsidRDefault="00444A55" w:rsidP="00444A55">
      <w:pPr>
        <w:pStyle w:val="Nessunaspaziatura2"/>
        <w:spacing w:line="360" w:lineRule="auto"/>
        <w:ind w:left="851" w:right="684"/>
        <w:jc w:val="both"/>
        <w:rPr>
          <w:rFonts w:ascii="Verdana" w:eastAsia="Verdana" w:hAnsi="Verdana" w:cs="Verdana"/>
          <w:sz w:val="21"/>
          <w:lang w:eastAsia="it-IT" w:bidi="it-IT"/>
        </w:rPr>
      </w:pPr>
      <w:r w:rsidRPr="00444A55">
        <w:rPr>
          <w:rFonts w:ascii="Verdana" w:eastAsia="Verdana" w:hAnsi="Verdana" w:cs="Verdana"/>
          <w:sz w:val="21"/>
          <w:lang w:eastAsia="it-IT" w:bidi="it-IT"/>
        </w:rPr>
        <w:t xml:space="preserve">Con il presente Piano </w:t>
      </w:r>
      <w:r w:rsidR="00D85672">
        <w:rPr>
          <w:rFonts w:ascii="Verdana" w:eastAsia="Verdana" w:hAnsi="Verdana" w:cs="Verdana"/>
          <w:sz w:val="21"/>
          <w:lang w:eastAsia="it-IT" w:bidi="it-IT"/>
        </w:rPr>
        <w:t>sono stati oggetto di revisione,</w:t>
      </w:r>
      <w:r w:rsidRPr="00444A55">
        <w:rPr>
          <w:rFonts w:ascii="Verdana" w:eastAsia="Verdana" w:hAnsi="Verdana" w:cs="Verdana"/>
          <w:sz w:val="21"/>
          <w:lang w:eastAsia="it-IT" w:bidi="it-IT"/>
        </w:rPr>
        <w:t xml:space="preserve"> secondo le indicazioni di Anac</w:t>
      </w:r>
      <w:r w:rsidR="00D85672">
        <w:rPr>
          <w:rFonts w:ascii="Verdana" w:eastAsia="Verdana" w:hAnsi="Verdana" w:cs="Verdana"/>
          <w:sz w:val="21"/>
          <w:lang w:eastAsia="it-IT" w:bidi="it-IT"/>
        </w:rPr>
        <w:t>, i seguenti aspetti</w:t>
      </w:r>
      <w:r w:rsidRPr="00444A55">
        <w:rPr>
          <w:rFonts w:ascii="Verdana" w:eastAsia="Verdana" w:hAnsi="Verdana" w:cs="Verdana"/>
          <w:sz w:val="21"/>
          <w:lang w:eastAsia="it-IT" w:bidi="it-IT"/>
        </w:rPr>
        <w:t>. Conseguentemente:</w:t>
      </w:r>
    </w:p>
    <w:p w14:paraId="655F35AE" w14:textId="7706BE9C" w:rsidR="00444A55" w:rsidRPr="00444A55" w:rsidRDefault="00444A55" w:rsidP="00D506C9">
      <w:pPr>
        <w:pStyle w:val="Nessunaspaziatura2"/>
        <w:numPr>
          <w:ilvl w:val="0"/>
          <w:numId w:val="11"/>
        </w:numPr>
        <w:spacing w:line="360" w:lineRule="auto"/>
        <w:ind w:left="851" w:right="684" w:firstLine="0"/>
        <w:jc w:val="both"/>
        <w:rPr>
          <w:rFonts w:ascii="Verdana" w:eastAsia="Verdana" w:hAnsi="Verdana" w:cs="Verdana"/>
          <w:sz w:val="21"/>
          <w:lang w:eastAsia="it-IT" w:bidi="it-IT"/>
        </w:rPr>
      </w:pPr>
      <w:r w:rsidRPr="00444A55">
        <w:rPr>
          <w:rFonts w:ascii="Verdana" w:eastAsia="Verdana" w:hAnsi="Verdana" w:cs="Verdana"/>
          <w:sz w:val="21"/>
          <w:lang w:eastAsia="it-IT" w:bidi="it-IT"/>
        </w:rPr>
        <w:t>è stato oggetto di</w:t>
      </w:r>
      <w:r w:rsidR="00F72258">
        <w:rPr>
          <w:rFonts w:ascii="Verdana" w:eastAsia="Verdana" w:hAnsi="Verdana" w:cs="Verdana"/>
          <w:sz w:val="21"/>
          <w:lang w:eastAsia="it-IT" w:bidi="it-IT"/>
        </w:rPr>
        <w:t xml:space="preserve"> nuova ed </w:t>
      </w:r>
      <w:proofErr w:type="gramStart"/>
      <w:r w:rsidR="00F72258">
        <w:rPr>
          <w:rFonts w:ascii="Verdana" w:eastAsia="Verdana" w:hAnsi="Verdana" w:cs="Verdana"/>
          <w:sz w:val="21"/>
          <w:lang w:eastAsia="it-IT" w:bidi="it-IT"/>
        </w:rPr>
        <w:t xml:space="preserve">aggiornata </w:t>
      </w:r>
      <w:r w:rsidRPr="00444A55">
        <w:rPr>
          <w:rFonts w:ascii="Verdana" w:eastAsia="Verdana" w:hAnsi="Verdana" w:cs="Verdana"/>
          <w:sz w:val="21"/>
          <w:lang w:eastAsia="it-IT" w:bidi="it-IT"/>
        </w:rPr>
        <w:t xml:space="preserve"> disamina</w:t>
      </w:r>
      <w:proofErr w:type="gramEnd"/>
      <w:r w:rsidRPr="00444A55">
        <w:rPr>
          <w:rFonts w:ascii="Verdana" w:eastAsia="Verdana" w:hAnsi="Verdana" w:cs="Verdana"/>
          <w:sz w:val="21"/>
          <w:lang w:eastAsia="it-IT" w:bidi="it-IT"/>
        </w:rPr>
        <w:t xml:space="preserve"> il </w:t>
      </w:r>
      <w:r w:rsidRPr="00444A55">
        <w:rPr>
          <w:rFonts w:ascii="Verdana" w:eastAsia="Verdana" w:hAnsi="Verdana" w:cs="Verdana"/>
          <w:sz w:val="21"/>
          <w:u w:val="single"/>
          <w:lang w:eastAsia="it-IT" w:bidi="it-IT"/>
        </w:rPr>
        <w:t>contesto esterno</w:t>
      </w:r>
      <w:r w:rsidRPr="00444A55">
        <w:rPr>
          <w:rFonts w:ascii="Verdana" w:eastAsia="Verdana" w:hAnsi="Verdana" w:cs="Verdana"/>
          <w:sz w:val="21"/>
          <w:lang w:eastAsia="it-IT" w:bidi="it-IT"/>
        </w:rPr>
        <w:t xml:space="preserve"> di riferimento. </w:t>
      </w:r>
      <w:proofErr w:type="gramStart"/>
      <w:r w:rsidRPr="00444A55">
        <w:rPr>
          <w:rFonts w:ascii="Verdana" w:eastAsia="Verdana" w:hAnsi="Verdana" w:cs="Verdana"/>
          <w:sz w:val="21"/>
          <w:lang w:eastAsia="it-IT" w:bidi="it-IT"/>
        </w:rPr>
        <w:t>Ed</w:t>
      </w:r>
      <w:proofErr w:type="gramEnd"/>
      <w:r w:rsidRPr="00444A55">
        <w:rPr>
          <w:rFonts w:ascii="Verdana" w:eastAsia="Verdana" w:hAnsi="Verdana" w:cs="Verdana"/>
          <w:sz w:val="21"/>
          <w:lang w:eastAsia="it-IT" w:bidi="it-IT"/>
        </w:rPr>
        <w:t>, infatti, Anac puntualizza quanto di seguito riportato: «</w:t>
      </w:r>
      <w:r w:rsidRPr="00444A55">
        <w:rPr>
          <w:rFonts w:ascii="Verdana" w:eastAsia="Verdana" w:hAnsi="Verdana" w:cs="Verdana"/>
          <w:i/>
          <w:iCs/>
          <w:sz w:val="21"/>
          <w:lang w:eastAsia="it-IT" w:bidi="it-IT"/>
        </w:rPr>
        <w:t>l’analisi del contesto esterno ha come duplice obiettivo quello di evidenziare come le caratteristiche strutturali e congiunturali dell’ambiente nel quale l’amministrazione si trova ad operare possano favorire il verificarsi di fenomeni corruttivi e, al tempo stesso, condizionare la valutazione del rischio corruttivo e il monitoraggio dell’idoneità delle misure di prevenzione.  Si tratta di una fase preliminare indispensabile, se opportunamente realizzata, in quanto consente a ciascuna amministrazione di definire la propria strategia di prevenzione del rischio corruttivo anche, e non solo, tenendo conto delle caratteristiche del territorio e dell’ambiente in cui opera. In particolare, l’analisi del contesto esterno consiste nell’individuazione e descrizione delle caratteristiche culturali, sociali ed economiche del territorio o del settore specifico di intervento (ad esempio, cluster o comparto) nonché delle relazioni esistenti con gli stakeholder e di come queste ultime possano influire sull’attività dell’amministrazione, favorendo eventualmente il verificarsi di fenomeni corruttivi al suo interno. In altri termini, la disamina delle principali dinamiche territoriali o settoriali e influenze o pressioni di interessi esterni cui l’amministrazione può essere sottoposta costituisce un passaggio essenziale nel valutare se, e in che misura, il contesto, territoriale o settoriale, di riferimento incida sul rischio corruttivo e conseguentemente nell’elaborare una strategia di gestione del rischio adeguata e puntuale</w:t>
      </w:r>
      <w:r w:rsidRPr="00444A55">
        <w:rPr>
          <w:rFonts w:ascii="Verdana" w:eastAsia="Verdana" w:hAnsi="Verdana" w:cs="Verdana"/>
          <w:sz w:val="21"/>
          <w:lang w:eastAsia="it-IT" w:bidi="it-IT"/>
        </w:rPr>
        <w:t xml:space="preserve">».  </w:t>
      </w:r>
    </w:p>
    <w:p w14:paraId="109B46B4" w14:textId="4AB5E500" w:rsidR="00444A55" w:rsidRDefault="00444A55" w:rsidP="00D506C9">
      <w:pPr>
        <w:pStyle w:val="Nessunaspaziatura2"/>
        <w:numPr>
          <w:ilvl w:val="0"/>
          <w:numId w:val="11"/>
        </w:numPr>
        <w:spacing w:line="360" w:lineRule="auto"/>
        <w:ind w:left="851" w:right="684" w:firstLine="0"/>
        <w:jc w:val="both"/>
        <w:rPr>
          <w:rFonts w:ascii="Verdana" w:eastAsia="Verdana" w:hAnsi="Verdana" w:cs="Verdana"/>
          <w:sz w:val="21"/>
          <w:lang w:eastAsia="it-IT" w:bidi="it-IT"/>
        </w:rPr>
      </w:pPr>
      <w:r w:rsidRPr="00444A55">
        <w:rPr>
          <w:rFonts w:ascii="Verdana" w:eastAsia="Verdana" w:hAnsi="Verdana" w:cs="Verdana"/>
          <w:sz w:val="21"/>
          <w:lang w:eastAsia="it-IT" w:bidi="it-IT"/>
        </w:rPr>
        <w:t xml:space="preserve">Per quanto concerne l’analisi del </w:t>
      </w:r>
      <w:r w:rsidRPr="00444A55">
        <w:rPr>
          <w:rFonts w:ascii="Verdana" w:eastAsia="Verdana" w:hAnsi="Verdana" w:cs="Verdana"/>
          <w:sz w:val="21"/>
          <w:u w:val="single"/>
          <w:lang w:eastAsia="it-IT" w:bidi="it-IT"/>
        </w:rPr>
        <w:t>contesto interno</w:t>
      </w:r>
      <w:r w:rsidRPr="00444A55">
        <w:rPr>
          <w:rFonts w:ascii="Verdana" w:eastAsia="Verdana" w:hAnsi="Verdana" w:cs="Verdana"/>
          <w:sz w:val="21"/>
          <w:lang w:eastAsia="it-IT" w:bidi="it-IT"/>
        </w:rPr>
        <w:t xml:space="preserve"> esso riguarda gli «</w:t>
      </w:r>
      <w:r w:rsidRPr="00444A55">
        <w:rPr>
          <w:rFonts w:ascii="Verdana" w:eastAsia="Verdana" w:hAnsi="Verdana" w:cs="Verdana"/>
          <w:i/>
          <w:iCs/>
          <w:sz w:val="21"/>
          <w:lang w:eastAsia="it-IT" w:bidi="it-IT"/>
        </w:rPr>
        <w:t>aspetti legati all’organizzazione e alla gestione per processi che influenzano la sensibilità della struttura al rischio corruttivo ed è volta a far emergere, da un lato, il sistema delle responsabilità, dall’altro, il livello di complessità dell’amministrazione</w:t>
      </w:r>
      <w:r w:rsidRPr="00444A55">
        <w:rPr>
          <w:rFonts w:ascii="Verdana" w:eastAsia="Verdana" w:hAnsi="Verdana" w:cs="Verdana"/>
          <w:sz w:val="21"/>
          <w:lang w:eastAsia="it-IT" w:bidi="it-IT"/>
        </w:rPr>
        <w:t>». Appare conseguentemente necessario rappresentare sinteticamente l’articolazione organizzativa dell’amministrazione, la quale deve essere funzionale all’individuazione di elementi utili ad esaminare come le caratteristiche organizzative possano influenzare il profilo di rischio dell’amministrazione e non deve consistere in una mera presentazione della struttura organizzativa.</w:t>
      </w:r>
    </w:p>
    <w:p w14:paraId="2FF42FD9" w14:textId="72BB641F" w:rsidR="00444A55" w:rsidRPr="00444A55" w:rsidRDefault="00444A55" w:rsidP="00D506C9">
      <w:pPr>
        <w:pStyle w:val="Nessunaspaziatura2"/>
        <w:numPr>
          <w:ilvl w:val="0"/>
          <w:numId w:val="11"/>
        </w:numPr>
        <w:spacing w:line="360" w:lineRule="auto"/>
        <w:ind w:left="851" w:right="684" w:firstLine="0"/>
        <w:jc w:val="both"/>
        <w:rPr>
          <w:rFonts w:ascii="Verdana" w:eastAsia="Verdana" w:hAnsi="Verdana" w:cs="Verdana"/>
          <w:sz w:val="21"/>
          <w:lang w:eastAsia="it-IT" w:bidi="it-IT"/>
        </w:rPr>
      </w:pPr>
      <w:proofErr w:type="gramStart"/>
      <w:r w:rsidRPr="00444A55">
        <w:rPr>
          <w:rFonts w:ascii="Verdana" w:eastAsia="Verdana" w:hAnsi="Verdana" w:cs="Verdana"/>
          <w:sz w:val="21"/>
          <w:lang w:eastAsia="it-IT" w:bidi="it-IT"/>
        </w:rPr>
        <w:t>E’</w:t>
      </w:r>
      <w:proofErr w:type="gramEnd"/>
      <w:r w:rsidRPr="00444A55">
        <w:rPr>
          <w:rFonts w:ascii="Verdana" w:eastAsia="Verdana" w:hAnsi="Verdana" w:cs="Verdana"/>
          <w:sz w:val="21"/>
          <w:lang w:eastAsia="it-IT" w:bidi="it-IT"/>
        </w:rPr>
        <w:t xml:space="preserve"> stat</w:t>
      </w:r>
      <w:r w:rsidR="00F72258">
        <w:rPr>
          <w:rFonts w:ascii="Verdana" w:eastAsia="Verdana" w:hAnsi="Verdana" w:cs="Verdana"/>
          <w:sz w:val="21"/>
          <w:lang w:eastAsia="it-IT" w:bidi="it-IT"/>
        </w:rPr>
        <w:t>a</w:t>
      </w:r>
      <w:r w:rsidRPr="00444A55">
        <w:rPr>
          <w:rFonts w:ascii="Verdana" w:eastAsia="Verdana" w:hAnsi="Verdana" w:cs="Verdana"/>
          <w:sz w:val="21"/>
          <w:lang w:eastAsia="it-IT" w:bidi="it-IT"/>
        </w:rPr>
        <w:t xml:space="preserve"> </w:t>
      </w:r>
      <w:r w:rsidR="00F72258">
        <w:rPr>
          <w:rFonts w:ascii="Verdana" w:eastAsia="Verdana" w:hAnsi="Verdana" w:cs="Verdana"/>
          <w:sz w:val="21"/>
          <w:lang w:eastAsia="it-IT" w:bidi="it-IT"/>
        </w:rPr>
        <w:t>confermata la</w:t>
      </w:r>
      <w:r w:rsidRPr="00444A55">
        <w:rPr>
          <w:rFonts w:ascii="Verdana" w:eastAsia="Verdana" w:hAnsi="Verdana" w:cs="Verdana"/>
          <w:sz w:val="21"/>
          <w:lang w:eastAsia="it-IT" w:bidi="it-IT"/>
        </w:rPr>
        <w:t xml:space="preserve"> identificazione e descrizione dei processi (e, pur considerata la realtà aziendale, di eventuali sotto-processi) che ineriscono la macro-area di riferimento, ai fini della analisi del rischio corruttivo. A detta dell’Autorità «</w:t>
      </w:r>
      <w:r w:rsidRPr="00444A55">
        <w:rPr>
          <w:rFonts w:ascii="Verdana" w:eastAsia="Verdana" w:hAnsi="Verdana" w:cs="Verdana"/>
          <w:i/>
          <w:iCs/>
          <w:sz w:val="21"/>
          <w:lang w:eastAsia="it-IT" w:bidi="it-IT"/>
        </w:rPr>
        <w:t xml:space="preserve">per descrivere in maniera efficace </w:t>
      </w:r>
      <w:r w:rsidRPr="00444A55">
        <w:rPr>
          <w:rFonts w:ascii="Verdana" w:eastAsia="Verdana" w:hAnsi="Verdana" w:cs="Verdana"/>
          <w:i/>
          <w:iCs/>
          <w:sz w:val="21"/>
          <w:lang w:eastAsia="it-IT" w:bidi="it-IT"/>
        </w:rPr>
        <w:lastRenderedPageBreak/>
        <w:t>ed esaustiva i singoli processi si consiglia di rappresentare i seguenti elementi: o elementi in ingresso che innescano il processo – “input”; o risultato atteso del processo – “output”; o sequenza di attività che consente di raggiungere l’output – le “attività”; o responsabilità connesse alla corretta realizzazione del processo; o tempi di svolgimento del processo e delle sue attività (nei casi in cui i tempi di svolgimento sono certi e/o conosciuti, anche in base a previsioni legislative o regolamentari); o vincoli del processo (rappresentati dalle condizioni da rispettare nello svolgimento del processo in base a previsioni legislative o regolamentari); o risorse del processo (con riferimento alle risorse finanziarie e umane necessarie per garantire il corretto funzionamento del processo (laddove le stesse siano agevolmente ed oggettivamente allocabili al processo); o interrelazioni tra i processi; o criticità del processo</w:t>
      </w:r>
      <w:r w:rsidRPr="00444A55">
        <w:rPr>
          <w:rFonts w:ascii="Verdana" w:eastAsia="Verdana" w:hAnsi="Verdana" w:cs="Verdana"/>
          <w:sz w:val="21"/>
          <w:lang w:eastAsia="it-IT" w:bidi="it-IT"/>
        </w:rPr>
        <w:t xml:space="preserve">». </w:t>
      </w:r>
    </w:p>
    <w:p w14:paraId="45DC641C" w14:textId="3A36D6DC" w:rsidR="00444A55" w:rsidRDefault="00444A55" w:rsidP="00444A55">
      <w:pPr>
        <w:pStyle w:val="Nessunaspaziatura2"/>
        <w:spacing w:line="360" w:lineRule="auto"/>
        <w:ind w:left="851" w:right="684"/>
        <w:jc w:val="both"/>
        <w:rPr>
          <w:rFonts w:ascii="Verdana" w:eastAsia="Verdana" w:hAnsi="Verdana" w:cs="Verdana"/>
          <w:sz w:val="21"/>
          <w:lang w:eastAsia="it-IT" w:bidi="it-IT"/>
        </w:rPr>
      </w:pPr>
      <w:r w:rsidRPr="00444A55">
        <w:rPr>
          <w:rFonts w:ascii="Verdana" w:eastAsia="Verdana" w:hAnsi="Verdana" w:cs="Verdana"/>
          <w:sz w:val="21"/>
          <w:lang w:eastAsia="it-IT" w:bidi="it-IT"/>
        </w:rPr>
        <w:t>Più precisamente, secondo l’Autorità, oggetto di analisi può essere, l’intero processo o le singole attività di cui si compone il processo: pur tuttavia essa ritiene che il livello minimo di analisi per l’identificazione dei rischi debba essere rappresentato “dal processo”, laddove non è opportuno che le amministrazioni adottino come unità minima di analisi le aree di rischio menzionate nel paragrafo precedente in quanto esse costituiscono una categoria eccessivamente sintetica e poco funzionale allo scopo.</w:t>
      </w:r>
    </w:p>
    <w:p w14:paraId="64DD78AE" w14:textId="1EDAE282" w:rsidR="002F2DA9" w:rsidRPr="00444A55" w:rsidRDefault="002F2DA9" w:rsidP="00444A55">
      <w:pPr>
        <w:pStyle w:val="Nessunaspaziatura2"/>
        <w:spacing w:line="360" w:lineRule="auto"/>
        <w:ind w:left="851" w:right="684"/>
        <w:jc w:val="both"/>
        <w:rPr>
          <w:rFonts w:ascii="Verdana" w:eastAsia="Verdana" w:hAnsi="Verdana" w:cs="Verdana"/>
          <w:sz w:val="21"/>
          <w:lang w:eastAsia="it-IT" w:bidi="it-IT"/>
        </w:rPr>
      </w:pPr>
      <w:r>
        <w:rPr>
          <w:rFonts w:ascii="Verdana" w:eastAsia="Verdana" w:hAnsi="Verdana" w:cs="Verdana"/>
          <w:sz w:val="21"/>
          <w:lang w:eastAsia="it-IT" w:bidi="it-IT"/>
        </w:rPr>
        <w:t xml:space="preserve">Come anticipato la identificazione delle aree di rischio, dei processi e sub processi, del personale coinvolto e delle misure di prevenzione è stato allocato, per maggiore fruibilità e facilità di lettura, nel documento </w:t>
      </w:r>
      <w:proofErr w:type="spellStart"/>
      <w:r>
        <w:rPr>
          <w:rFonts w:ascii="Verdana" w:eastAsia="Verdana" w:hAnsi="Verdana" w:cs="Verdana"/>
          <w:sz w:val="21"/>
          <w:lang w:eastAsia="it-IT" w:bidi="it-IT"/>
        </w:rPr>
        <w:t>excel</w:t>
      </w:r>
      <w:proofErr w:type="spellEnd"/>
      <w:r>
        <w:rPr>
          <w:rFonts w:ascii="Verdana" w:eastAsia="Verdana" w:hAnsi="Verdana" w:cs="Verdana"/>
          <w:sz w:val="21"/>
          <w:lang w:eastAsia="it-IT" w:bidi="it-IT"/>
        </w:rPr>
        <w:t xml:space="preserve"> allegato al Piano.</w:t>
      </w:r>
    </w:p>
    <w:p w14:paraId="32F95C91" w14:textId="501C703C" w:rsidR="00444A55" w:rsidRDefault="00444A55" w:rsidP="00D506C9">
      <w:pPr>
        <w:pStyle w:val="Nessunaspaziatura2"/>
        <w:numPr>
          <w:ilvl w:val="0"/>
          <w:numId w:val="11"/>
        </w:numPr>
        <w:spacing w:line="360" w:lineRule="auto"/>
        <w:ind w:left="851" w:right="684" w:firstLine="0"/>
        <w:jc w:val="both"/>
        <w:rPr>
          <w:rFonts w:ascii="Verdana" w:eastAsia="Verdana" w:hAnsi="Verdana" w:cs="Verdana"/>
          <w:sz w:val="21"/>
          <w:lang w:eastAsia="it-IT" w:bidi="it-IT"/>
        </w:rPr>
      </w:pPr>
      <w:r w:rsidRPr="00444A55">
        <w:rPr>
          <w:rFonts w:ascii="Verdana" w:eastAsia="Verdana" w:hAnsi="Verdana" w:cs="Verdana"/>
          <w:sz w:val="21"/>
          <w:lang w:eastAsia="it-IT" w:bidi="it-IT"/>
        </w:rPr>
        <w:t xml:space="preserve">Infine, il Responsabile ha </w:t>
      </w:r>
      <w:r w:rsidR="00F72258">
        <w:rPr>
          <w:rFonts w:ascii="Verdana" w:eastAsia="Verdana" w:hAnsi="Verdana" w:cs="Verdana"/>
          <w:sz w:val="21"/>
          <w:lang w:eastAsia="it-IT" w:bidi="it-IT"/>
        </w:rPr>
        <w:t>confermato la adozione di</w:t>
      </w:r>
      <w:r w:rsidRPr="00444A55">
        <w:rPr>
          <w:rFonts w:ascii="Verdana" w:eastAsia="Verdana" w:hAnsi="Verdana" w:cs="Verdana"/>
          <w:sz w:val="21"/>
          <w:lang w:eastAsia="it-IT" w:bidi="it-IT"/>
        </w:rPr>
        <w:t xml:space="preserve"> un </w:t>
      </w:r>
      <w:r w:rsidRPr="00444A55">
        <w:rPr>
          <w:rFonts w:ascii="Verdana" w:eastAsia="Verdana" w:hAnsi="Verdana" w:cs="Verdana"/>
          <w:sz w:val="21"/>
          <w:u w:val="single"/>
          <w:lang w:eastAsia="it-IT" w:bidi="it-IT"/>
        </w:rPr>
        <w:t>criterio qualitativo di valutazione del rischio</w:t>
      </w:r>
      <w:r w:rsidRPr="00444A55">
        <w:rPr>
          <w:rFonts w:ascii="Verdana" w:eastAsia="Verdana" w:hAnsi="Verdana" w:cs="Verdana"/>
          <w:sz w:val="21"/>
          <w:lang w:eastAsia="it-IT" w:bidi="it-IT"/>
        </w:rPr>
        <w:t xml:space="preserve"> e si è conformato all’osservazione secondo cui «</w:t>
      </w:r>
      <w:r w:rsidRPr="00444A55">
        <w:rPr>
          <w:rFonts w:ascii="Verdana" w:eastAsia="Verdana" w:hAnsi="Verdana" w:cs="Verdana"/>
          <w:i/>
          <w:iCs/>
          <w:sz w:val="21"/>
          <w:lang w:eastAsia="it-IT" w:bidi="it-IT"/>
        </w:rPr>
        <w:t>considerata la natura dell’oggetto di valutazione (rischio di corruzione), per il quale non si dispone, ad oggi, di serie storiche particolarmente robuste per analisi di natura quantitativa, che richiederebbero competenze che in molte amministrazioni non sono presenti, e ai fini di una maggiore sostenibilità organizzativa, si suggerisce di adottare un approccio di tipo qualitativo, dando ampio spazio alla motivazione della valutazione e garantendo la massima trasparenza</w:t>
      </w:r>
      <w:r w:rsidRPr="00444A55">
        <w:rPr>
          <w:rFonts w:ascii="Verdana" w:eastAsia="Verdana" w:hAnsi="Verdana" w:cs="Verdana"/>
          <w:sz w:val="21"/>
          <w:lang w:eastAsia="it-IT" w:bidi="it-IT"/>
        </w:rPr>
        <w:t>».</w:t>
      </w:r>
    </w:p>
    <w:p w14:paraId="27751E57" w14:textId="4C23F7B2" w:rsidR="00623BE7" w:rsidRPr="00623BE7" w:rsidRDefault="00623BE7" w:rsidP="00623BE7">
      <w:pPr>
        <w:pStyle w:val="Nessunaspaziatura2"/>
        <w:spacing w:line="360" w:lineRule="auto"/>
        <w:ind w:left="851" w:right="684"/>
        <w:jc w:val="both"/>
        <w:rPr>
          <w:rFonts w:ascii="Verdana" w:eastAsia="Verdana" w:hAnsi="Verdana" w:cs="Verdana"/>
          <w:sz w:val="21"/>
          <w:lang w:eastAsia="it-IT" w:bidi="it-IT"/>
        </w:rPr>
      </w:pPr>
      <w:r>
        <w:rPr>
          <w:rFonts w:ascii="Verdana" w:eastAsia="Verdana" w:hAnsi="Verdana" w:cs="Verdana"/>
          <w:sz w:val="21"/>
          <w:lang w:eastAsia="it-IT" w:bidi="it-IT"/>
        </w:rPr>
        <w:t>In definitiva, r</w:t>
      </w:r>
      <w:r w:rsidRPr="00623BE7">
        <w:rPr>
          <w:rFonts w:ascii="Verdana" w:eastAsia="Verdana" w:hAnsi="Verdana" w:cs="Verdana"/>
          <w:sz w:val="21"/>
          <w:lang w:eastAsia="it-IT" w:bidi="it-IT"/>
        </w:rPr>
        <w:t>ispetto la Piano previgente</w:t>
      </w:r>
      <w:r>
        <w:rPr>
          <w:rFonts w:ascii="Verdana" w:eastAsia="Verdana" w:hAnsi="Verdana" w:cs="Verdana"/>
          <w:sz w:val="21"/>
          <w:lang w:eastAsia="it-IT" w:bidi="it-IT"/>
        </w:rPr>
        <w:t>,</w:t>
      </w:r>
      <w:r w:rsidRPr="00623BE7">
        <w:rPr>
          <w:rFonts w:ascii="Verdana" w:eastAsia="Verdana" w:hAnsi="Verdana" w:cs="Verdana"/>
          <w:sz w:val="21"/>
          <w:lang w:eastAsia="it-IT" w:bidi="it-IT"/>
        </w:rPr>
        <w:t xml:space="preserve"> RPCT ha, in particolare, provveduto:</w:t>
      </w:r>
    </w:p>
    <w:p w14:paraId="5319B3CA" w14:textId="7399134F" w:rsidR="00623BE7" w:rsidRPr="00623BE7" w:rsidRDefault="00623BE7" w:rsidP="00623BE7">
      <w:pPr>
        <w:pStyle w:val="Nessunaspaziatura2"/>
        <w:spacing w:line="360" w:lineRule="auto"/>
        <w:ind w:left="851" w:right="684"/>
        <w:jc w:val="both"/>
        <w:rPr>
          <w:rFonts w:ascii="Verdana" w:eastAsia="Verdana" w:hAnsi="Verdana" w:cs="Verdana"/>
          <w:sz w:val="21"/>
          <w:lang w:eastAsia="it-IT" w:bidi="it-IT"/>
        </w:rPr>
      </w:pPr>
      <w:r w:rsidRPr="00623BE7">
        <w:rPr>
          <w:rFonts w:ascii="Verdana" w:eastAsia="Verdana" w:hAnsi="Verdana" w:cs="Verdana"/>
          <w:sz w:val="21"/>
          <w:lang w:eastAsia="it-IT" w:bidi="it-IT"/>
        </w:rPr>
        <w:t>(i)</w:t>
      </w:r>
      <w:r w:rsidRPr="00623BE7">
        <w:rPr>
          <w:rFonts w:ascii="Verdana" w:eastAsia="Verdana" w:hAnsi="Verdana" w:cs="Verdana"/>
          <w:sz w:val="21"/>
          <w:lang w:eastAsia="it-IT" w:bidi="it-IT"/>
        </w:rPr>
        <w:tab/>
        <w:t>ad una rivisitazione del contesto esterno, limitando le informazioni a quanto valutato pertinente per la disamina del rischio corruttivo, e del contesto interno;</w:t>
      </w:r>
    </w:p>
    <w:p w14:paraId="1C133177" w14:textId="77777777" w:rsidR="00623BE7" w:rsidRPr="00623BE7" w:rsidRDefault="00623BE7" w:rsidP="00623BE7">
      <w:pPr>
        <w:pStyle w:val="Nessunaspaziatura2"/>
        <w:spacing w:line="360" w:lineRule="auto"/>
        <w:ind w:left="851" w:right="684"/>
        <w:jc w:val="both"/>
        <w:rPr>
          <w:rFonts w:ascii="Verdana" w:eastAsia="Verdana" w:hAnsi="Verdana" w:cs="Verdana"/>
          <w:sz w:val="21"/>
          <w:lang w:eastAsia="it-IT" w:bidi="it-IT"/>
        </w:rPr>
      </w:pPr>
      <w:r w:rsidRPr="00623BE7">
        <w:rPr>
          <w:rFonts w:ascii="Verdana" w:eastAsia="Verdana" w:hAnsi="Verdana" w:cs="Verdana"/>
          <w:sz w:val="21"/>
          <w:lang w:eastAsia="it-IT" w:bidi="it-IT"/>
        </w:rPr>
        <w:t>(ii)</w:t>
      </w:r>
      <w:r w:rsidRPr="00623BE7">
        <w:rPr>
          <w:rFonts w:ascii="Verdana" w:eastAsia="Verdana" w:hAnsi="Verdana" w:cs="Verdana"/>
          <w:sz w:val="21"/>
          <w:lang w:eastAsia="it-IT" w:bidi="it-IT"/>
        </w:rPr>
        <w:tab/>
        <w:t xml:space="preserve">a verificare la perdurante validità della valutazione del rischio in riferimento ai vari processi aziendali, allocata in un distinto allegato </w:t>
      </w:r>
      <w:proofErr w:type="spellStart"/>
      <w:r w:rsidRPr="00623BE7">
        <w:rPr>
          <w:rFonts w:ascii="Verdana" w:eastAsia="Verdana" w:hAnsi="Verdana" w:cs="Verdana"/>
          <w:sz w:val="21"/>
          <w:lang w:eastAsia="it-IT" w:bidi="it-IT"/>
        </w:rPr>
        <w:t>excel</w:t>
      </w:r>
      <w:proofErr w:type="spellEnd"/>
      <w:r w:rsidRPr="00623BE7">
        <w:rPr>
          <w:rFonts w:ascii="Verdana" w:eastAsia="Verdana" w:hAnsi="Verdana" w:cs="Verdana"/>
          <w:sz w:val="21"/>
          <w:lang w:eastAsia="it-IT" w:bidi="it-IT"/>
        </w:rPr>
        <w:t>, parte integrante del Piano;</w:t>
      </w:r>
    </w:p>
    <w:p w14:paraId="275D56FB" w14:textId="77777777" w:rsidR="00623BE7" w:rsidRPr="00623BE7" w:rsidRDefault="00623BE7" w:rsidP="00623BE7">
      <w:pPr>
        <w:pStyle w:val="Nessunaspaziatura2"/>
        <w:spacing w:line="360" w:lineRule="auto"/>
        <w:ind w:left="851" w:right="684"/>
        <w:jc w:val="both"/>
        <w:rPr>
          <w:rFonts w:ascii="Verdana" w:eastAsia="Verdana" w:hAnsi="Verdana" w:cs="Verdana"/>
          <w:sz w:val="21"/>
          <w:lang w:eastAsia="it-IT" w:bidi="it-IT"/>
        </w:rPr>
      </w:pPr>
      <w:r w:rsidRPr="00623BE7">
        <w:rPr>
          <w:rFonts w:ascii="Verdana" w:eastAsia="Verdana" w:hAnsi="Verdana" w:cs="Verdana"/>
          <w:sz w:val="21"/>
          <w:lang w:eastAsia="it-IT" w:bidi="it-IT"/>
        </w:rPr>
        <w:t>(iii)</w:t>
      </w:r>
      <w:r w:rsidRPr="00623BE7">
        <w:rPr>
          <w:rFonts w:ascii="Verdana" w:eastAsia="Verdana" w:hAnsi="Verdana" w:cs="Verdana"/>
          <w:sz w:val="21"/>
          <w:lang w:eastAsia="it-IT" w:bidi="it-IT"/>
        </w:rPr>
        <w:tab/>
        <w:t>a dare attuazione alle nuove istruzioni di cui all’allegato 4 alla delibera ANAC n. 495 del 25 settembre 2024 (qualità del dato: raccomandazioni nei confronti dei soggetti tenuti all’applicazione del d.lgs. 33/2013 per l’inserimento dei dati nelle diverse sottosezioni di Amministrazione trasparente secondo le schede di pubblicazione predisposte da ANAC e per la successiva attività di controllo dei dati pubblicati);</w:t>
      </w:r>
    </w:p>
    <w:p w14:paraId="72FEEA86" w14:textId="42DEB03A" w:rsidR="00623BE7" w:rsidRPr="00444A55" w:rsidRDefault="00623BE7" w:rsidP="00623BE7">
      <w:pPr>
        <w:pStyle w:val="Nessunaspaziatura2"/>
        <w:spacing w:line="360" w:lineRule="auto"/>
        <w:ind w:left="851" w:right="684"/>
        <w:jc w:val="both"/>
        <w:rPr>
          <w:rFonts w:ascii="Verdana" w:eastAsia="Verdana" w:hAnsi="Verdana" w:cs="Verdana"/>
          <w:sz w:val="21"/>
          <w:lang w:eastAsia="it-IT" w:bidi="it-IT"/>
        </w:rPr>
      </w:pPr>
      <w:r w:rsidRPr="00623BE7">
        <w:rPr>
          <w:rFonts w:ascii="Verdana" w:eastAsia="Verdana" w:hAnsi="Verdana" w:cs="Verdana"/>
          <w:sz w:val="21"/>
          <w:lang w:eastAsia="it-IT" w:bidi="it-IT"/>
        </w:rPr>
        <w:lastRenderedPageBreak/>
        <w:t>(iv)</w:t>
      </w:r>
      <w:r w:rsidRPr="00623BE7">
        <w:rPr>
          <w:rFonts w:ascii="Verdana" w:eastAsia="Verdana" w:hAnsi="Verdana" w:cs="Verdana"/>
          <w:sz w:val="21"/>
          <w:lang w:eastAsia="it-IT" w:bidi="it-IT"/>
        </w:rPr>
        <w:tab/>
        <w:t>a prendere in esame le modifiche apportate da Anac con Delibera n. 479 del 26 novembre 2025 alle Linee Guida whistleblowing approvate con Delibera n. 311 del 12 luglio 2023 (Pubblicata nella Gazzetta Ufficiale Serie Generale n.172 del 25 luglio 2023). L’intervento dell’Autorità e le precisazioni operate non impattano sul sistema e sulla procedura adottata dall’Ordine, tuttora conforme anche a valle della precitata Delibera 479/2025 (la quale ha ad oggetto le modalità di strutturazione del canale interno di segnalazione, la gestione delle segnalazioni anonime etc.).</w:t>
      </w:r>
    </w:p>
    <w:p w14:paraId="74D72989" w14:textId="265C9C81" w:rsidR="0078795B" w:rsidRPr="002034D7" w:rsidRDefault="0078795B" w:rsidP="00D506C9">
      <w:pPr>
        <w:pStyle w:val="Titolo1"/>
        <w:numPr>
          <w:ilvl w:val="1"/>
          <w:numId w:val="12"/>
        </w:numPr>
        <w:tabs>
          <w:tab w:val="left" w:pos="1560"/>
        </w:tabs>
        <w:spacing w:before="200" w:line="360" w:lineRule="auto"/>
        <w:ind w:left="851" w:right="939" w:firstLine="0"/>
        <w:jc w:val="both"/>
        <w:rPr>
          <w:smallCaps/>
        </w:rPr>
      </w:pPr>
      <w:bookmarkStart w:id="48" w:name="_Toc220506567"/>
      <w:r w:rsidRPr="002034D7">
        <w:rPr>
          <w:smallCaps/>
        </w:rPr>
        <w:t>Contesti</w:t>
      </w:r>
      <w:bookmarkEnd w:id="48"/>
    </w:p>
    <w:p w14:paraId="7D615F68" w14:textId="32007A95" w:rsidR="0078795B" w:rsidRPr="002034D7" w:rsidRDefault="0078795B" w:rsidP="002034D7">
      <w:pPr>
        <w:spacing w:line="360" w:lineRule="auto"/>
        <w:ind w:left="851" w:right="780"/>
        <w:jc w:val="both"/>
        <w:rPr>
          <w:b/>
          <w:sz w:val="21"/>
          <w:szCs w:val="21"/>
        </w:rPr>
      </w:pPr>
      <w:r w:rsidRPr="002034D7">
        <w:rPr>
          <w:sz w:val="21"/>
          <w:szCs w:val="21"/>
        </w:rPr>
        <w:t xml:space="preserve">ASP e EBS hanno determinato gli elementi esterni ed interni che possono influenzare la propria capacità di raggiungere gli obiettivi del sistema di gestione anticorruzione ai fini della applicazione del </w:t>
      </w:r>
      <w:proofErr w:type="spellStart"/>
      <w:r w:rsidRPr="002034D7">
        <w:rPr>
          <w:sz w:val="21"/>
          <w:szCs w:val="21"/>
        </w:rPr>
        <w:t>D.Lgs</w:t>
      </w:r>
      <w:proofErr w:type="spellEnd"/>
      <w:r w:rsidRPr="002034D7">
        <w:rPr>
          <w:sz w:val="21"/>
          <w:szCs w:val="21"/>
        </w:rPr>
        <w:t xml:space="preserve"> 231/01 e della L.190/2012.</w:t>
      </w:r>
    </w:p>
    <w:p w14:paraId="212FD90A" w14:textId="77777777" w:rsidR="009D4000" w:rsidRDefault="009D4000" w:rsidP="002034D7">
      <w:pPr>
        <w:spacing w:line="360" w:lineRule="auto"/>
        <w:ind w:left="851" w:right="780"/>
        <w:jc w:val="both"/>
        <w:rPr>
          <w:sz w:val="21"/>
          <w:szCs w:val="21"/>
        </w:rPr>
      </w:pPr>
      <w:r>
        <w:rPr>
          <w:sz w:val="21"/>
          <w:szCs w:val="21"/>
        </w:rPr>
        <w:t>Come anticipato:</w:t>
      </w:r>
    </w:p>
    <w:p w14:paraId="1C7B79AA" w14:textId="65B3C6B3" w:rsidR="009D4000" w:rsidRPr="009D4000" w:rsidRDefault="009D4000" w:rsidP="00D506C9">
      <w:pPr>
        <w:pStyle w:val="Paragrafoelenco"/>
        <w:numPr>
          <w:ilvl w:val="0"/>
          <w:numId w:val="32"/>
        </w:numPr>
        <w:spacing w:line="360" w:lineRule="auto"/>
        <w:ind w:right="780"/>
        <w:jc w:val="both"/>
        <w:rPr>
          <w:b/>
          <w:sz w:val="21"/>
          <w:szCs w:val="21"/>
        </w:rPr>
      </w:pPr>
      <w:r>
        <w:rPr>
          <w:sz w:val="21"/>
          <w:szCs w:val="21"/>
        </w:rPr>
        <w:t>l</w:t>
      </w:r>
      <w:r w:rsidR="0078795B" w:rsidRPr="009D4000">
        <w:rPr>
          <w:sz w:val="21"/>
          <w:szCs w:val="21"/>
        </w:rPr>
        <w:t xml:space="preserve">a valutazione del contesto esterno ha come obiettivo quello di evidenziare come le caratteristiche dell’ambiente nel quale </w:t>
      </w:r>
      <w:r w:rsidR="00084323" w:rsidRPr="009D4000">
        <w:rPr>
          <w:sz w:val="21"/>
          <w:szCs w:val="21"/>
        </w:rPr>
        <w:t>le realtà</w:t>
      </w:r>
      <w:r w:rsidR="0078795B" w:rsidRPr="009D4000">
        <w:rPr>
          <w:sz w:val="21"/>
          <w:szCs w:val="21"/>
        </w:rPr>
        <w:t xml:space="preserve"> opera</w:t>
      </w:r>
      <w:r w:rsidR="00084323" w:rsidRPr="009D4000">
        <w:rPr>
          <w:sz w:val="21"/>
          <w:szCs w:val="21"/>
        </w:rPr>
        <w:t>no</w:t>
      </w:r>
      <w:r w:rsidR="0078795B" w:rsidRPr="009D4000">
        <w:rPr>
          <w:sz w:val="21"/>
          <w:szCs w:val="21"/>
        </w:rPr>
        <w:t xml:space="preserve"> possano favorire il verificarsi di fenomeni corruttivi al proprio interno</w:t>
      </w:r>
      <w:r>
        <w:rPr>
          <w:sz w:val="21"/>
          <w:szCs w:val="21"/>
        </w:rPr>
        <w:t>;</w:t>
      </w:r>
      <w:r w:rsidR="0078795B" w:rsidRPr="009D4000">
        <w:rPr>
          <w:sz w:val="21"/>
          <w:szCs w:val="21"/>
        </w:rPr>
        <w:t xml:space="preserve"> </w:t>
      </w:r>
    </w:p>
    <w:p w14:paraId="67CAD2FB" w14:textId="47F73BC9" w:rsidR="0078795B" w:rsidRPr="009D4000" w:rsidRDefault="009D4000" w:rsidP="00D506C9">
      <w:pPr>
        <w:pStyle w:val="Paragrafoelenco"/>
        <w:numPr>
          <w:ilvl w:val="0"/>
          <w:numId w:val="32"/>
        </w:numPr>
        <w:spacing w:line="360" w:lineRule="auto"/>
        <w:ind w:right="780"/>
        <w:jc w:val="both"/>
        <w:rPr>
          <w:b/>
          <w:sz w:val="21"/>
          <w:szCs w:val="21"/>
        </w:rPr>
      </w:pPr>
      <w:r>
        <w:rPr>
          <w:sz w:val="21"/>
          <w:szCs w:val="21"/>
        </w:rPr>
        <w:t>l</w:t>
      </w:r>
      <w:r w:rsidR="0078795B" w:rsidRPr="009D4000">
        <w:rPr>
          <w:sz w:val="21"/>
          <w:szCs w:val="21"/>
        </w:rPr>
        <w:t xml:space="preserve">a valutazione del contesto interno ha, invece, come obiettivo quello di evidenziare come le caratteristiche interne dell’azienda possano favorire il verificarsi di fenomeni corruttivi al proprio interno. </w:t>
      </w:r>
    </w:p>
    <w:p w14:paraId="6B0CE36A" w14:textId="00763C69" w:rsidR="0078795B" w:rsidRPr="002034D7" w:rsidRDefault="009D4000" w:rsidP="002034D7">
      <w:pPr>
        <w:pStyle w:val="Titolo1"/>
        <w:tabs>
          <w:tab w:val="left" w:pos="851"/>
        </w:tabs>
        <w:spacing w:before="200" w:line="360" w:lineRule="auto"/>
        <w:ind w:left="851" w:right="939" w:firstLine="0"/>
        <w:jc w:val="both"/>
        <w:rPr>
          <w:smallCaps/>
        </w:rPr>
      </w:pPr>
      <w:bookmarkStart w:id="49" w:name="_Toc220506568"/>
      <w:r>
        <w:t>8</w:t>
      </w:r>
      <w:r w:rsidR="0078795B" w:rsidRPr="002034D7">
        <w:rPr>
          <w:smallCaps/>
        </w:rPr>
        <w:t>.1</w:t>
      </w:r>
      <w:r>
        <w:rPr>
          <w:smallCaps/>
        </w:rPr>
        <w:t>.1</w:t>
      </w:r>
      <w:r w:rsidR="0078795B" w:rsidRPr="002034D7">
        <w:rPr>
          <w:smallCaps/>
        </w:rPr>
        <w:t xml:space="preserve"> Contesto Esterno</w:t>
      </w:r>
      <w:bookmarkEnd w:id="49"/>
    </w:p>
    <w:p w14:paraId="0C24E62C" w14:textId="5290A268" w:rsidR="00263D93" w:rsidRDefault="0078795B" w:rsidP="00263D93">
      <w:pPr>
        <w:spacing w:line="360" w:lineRule="auto"/>
        <w:ind w:left="851" w:right="780"/>
        <w:jc w:val="both"/>
        <w:rPr>
          <w:sz w:val="21"/>
          <w:szCs w:val="21"/>
        </w:rPr>
      </w:pPr>
      <w:r w:rsidRPr="002034D7">
        <w:rPr>
          <w:sz w:val="21"/>
          <w:szCs w:val="21"/>
        </w:rPr>
        <w:t xml:space="preserve">Le informazioni utili a comprendere le dinamiche del rischio corruttivo all’interno di </w:t>
      </w:r>
      <w:r w:rsidR="00084323" w:rsidRPr="002034D7">
        <w:rPr>
          <w:sz w:val="21"/>
          <w:szCs w:val="21"/>
        </w:rPr>
        <w:t>ASP e EBS</w:t>
      </w:r>
      <w:r w:rsidRPr="002034D7">
        <w:rPr>
          <w:sz w:val="21"/>
          <w:szCs w:val="21"/>
        </w:rPr>
        <w:t xml:space="preserve"> discendono in primo luogo da una </w:t>
      </w:r>
      <w:r w:rsidRPr="002034D7">
        <w:rPr>
          <w:sz w:val="21"/>
          <w:szCs w:val="21"/>
          <w:u w:val="single"/>
        </w:rPr>
        <w:t>disamina della realtà territoriale</w:t>
      </w:r>
      <w:r w:rsidRPr="002034D7">
        <w:rPr>
          <w:sz w:val="21"/>
          <w:szCs w:val="21"/>
        </w:rPr>
        <w:t xml:space="preserve"> (nazionale e locale) in cui la Società si colloca. </w:t>
      </w:r>
      <w:bookmarkStart w:id="50" w:name="_Hlk67344638"/>
      <w:r w:rsidRPr="002034D7">
        <w:rPr>
          <w:sz w:val="21"/>
          <w:szCs w:val="21"/>
        </w:rPr>
        <w:t>La definizione del contesto esterno avviene per fasi di approfondimento graduale, in relazione all’esperienza maturata sul processo di valutazione del rischio e compatibilmente con le risorse professionali disponibili.</w:t>
      </w:r>
    </w:p>
    <w:bookmarkEnd w:id="50"/>
    <w:p w14:paraId="60125D58" w14:textId="77777777" w:rsidR="008A4B01" w:rsidRPr="008A4B01" w:rsidRDefault="008A4B01" w:rsidP="008A4B01">
      <w:pPr>
        <w:spacing w:line="360" w:lineRule="auto"/>
        <w:ind w:left="851" w:right="780"/>
        <w:jc w:val="both"/>
        <w:rPr>
          <w:sz w:val="21"/>
          <w:szCs w:val="21"/>
        </w:rPr>
      </w:pPr>
      <w:r w:rsidRPr="008A4B01">
        <w:rPr>
          <w:sz w:val="21"/>
          <w:szCs w:val="21"/>
        </w:rPr>
        <w:t xml:space="preserve">A </w:t>
      </w:r>
      <w:r w:rsidRPr="008A4B01">
        <w:rPr>
          <w:sz w:val="21"/>
          <w:szCs w:val="21"/>
          <w:u w:val="single"/>
        </w:rPr>
        <w:t>livello internazionale</w:t>
      </w:r>
      <w:r w:rsidRPr="008A4B01">
        <w:rPr>
          <w:sz w:val="21"/>
          <w:szCs w:val="21"/>
        </w:rPr>
        <w:t xml:space="preserve"> l’indice di Percezione della Corruzione (CPI) di </w:t>
      </w:r>
      <w:proofErr w:type="spellStart"/>
      <w:r w:rsidRPr="008A4B01">
        <w:rPr>
          <w:sz w:val="21"/>
          <w:szCs w:val="21"/>
        </w:rPr>
        <w:t>Transparency</w:t>
      </w:r>
      <w:proofErr w:type="spellEnd"/>
      <w:r w:rsidRPr="008A4B01">
        <w:rPr>
          <w:sz w:val="21"/>
          <w:szCs w:val="21"/>
        </w:rPr>
        <w:t xml:space="preserve"> misura la percezione della corruzione nel settore pubblico e nella politica in numerosi Paesi di tutto il mondo. Lo fa basandosi sull’opinione di esperti e assegnando una valutazione che va da 0, per i Paesi ritenuti molto corrotti, a 100, per quelli “puliti”. La metodologia cambia ogni anno per riuscire a dare uno spaccato sempre più attendibile delle realtà locali.</w:t>
      </w:r>
    </w:p>
    <w:p w14:paraId="3B93D834" w14:textId="77777777" w:rsidR="008A4B01" w:rsidRPr="008A4B01" w:rsidRDefault="008A4B01" w:rsidP="008A4B01">
      <w:pPr>
        <w:spacing w:line="360" w:lineRule="auto"/>
        <w:ind w:left="851" w:right="780"/>
        <w:jc w:val="both"/>
        <w:rPr>
          <w:sz w:val="21"/>
          <w:szCs w:val="21"/>
        </w:rPr>
      </w:pPr>
      <w:r w:rsidRPr="008A4B01">
        <w:rPr>
          <w:sz w:val="21"/>
          <w:szCs w:val="21"/>
        </w:rPr>
        <w:t xml:space="preserve">Da un punto di vista territoriale l’immagine dell’Italia è quella di un paese ad elevato grado di corruzione sia nella percezione dei cittadini che di imprese e analisti. Le stime convergenti di alcuni indicatori sembrano segnalare come la corruzione nel settore pubblico abbia assunto in Italia connotazioni sistemiche, tipiche di un fenomeno profondamente radicato in diverse aree di intervento dello Stato e capace di condizionarne significativi processi decisionali. </w:t>
      </w:r>
    </w:p>
    <w:p w14:paraId="0847D851" w14:textId="3EB0E328" w:rsidR="00023796" w:rsidRPr="00023796" w:rsidRDefault="00334ECA" w:rsidP="00023796">
      <w:pPr>
        <w:spacing w:line="360" w:lineRule="auto"/>
        <w:ind w:left="851" w:right="780"/>
        <w:jc w:val="both"/>
        <w:rPr>
          <w:sz w:val="21"/>
          <w:szCs w:val="21"/>
        </w:rPr>
      </w:pPr>
      <w:bookmarkStart w:id="51" w:name="_Hlk67344781"/>
      <w:r w:rsidRPr="00334ECA">
        <w:rPr>
          <w:sz w:val="21"/>
          <w:szCs w:val="21"/>
        </w:rPr>
        <w:lastRenderedPageBreak/>
        <w:t xml:space="preserve">Nel 2016, l’Italia era posta al 60° posto su 176 paesi del mondo nel Rapporto di </w:t>
      </w:r>
      <w:proofErr w:type="spellStart"/>
      <w:r w:rsidRPr="00334ECA">
        <w:rPr>
          <w:sz w:val="21"/>
          <w:szCs w:val="21"/>
        </w:rPr>
        <w:t>Transparency</w:t>
      </w:r>
      <w:proofErr w:type="spellEnd"/>
      <w:r w:rsidRPr="00334ECA">
        <w:rPr>
          <w:sz w:val="21"/>
          <w:szCs w:val="21"/>
        </w:rPr>
        <w:t xml:space="preserve"> International sulla percezione della corruzione. Nel corso degli anni si è assistito ad un progressivo miglioramento della situazione e l’Italia risulta, nel 2024, collocata al 52° posto nel mondo su 180 paesi (in UE 19 su 27</w:t>
      </w:r>
      <w:proofErr w:type="gramStart"/>
      <w:r w:rsidRPr="00334ECA">
        <w:rPr>
          <w:sz w:val="21"/>
          <w:szCs w:val="21"/>
        </w:rPr>
        <w:t>).</w:t>
      </w:r>
      <w:r w:rsidR="00023796" w:rsidRPr="00023796">
        <w:rPr>
          <w:sz w:val="21"/>
          <w:szCs w:val="21"/>
        </w:rPr>
        <w:t>Da</w:t>
      </w:r>
      <w:proofErr w:type="gramEnd"/>
      <w:r w:rsidR="00023796" w:rsidRPr="00023796">
        <w:rPr>
          <w:sz w:val="21"/>
          <w:szCs w:val="21"/>
        </w:rPr>
        <w:t xml:space="preserve"> ultimo, nel corso del 2021, si è assistito ad un rilevante miglioramento, con un balzo di 10 posizioni e il posizionamento al 42° posto a livello globale; nel 2023 l’Italia è collocata al 41° posto e al 17° su 27 paesi nell’UE.</w:t>
      </w:r>
    </w:p>
    <w:p w14:paraId="4742562B" w14:textId="77777777" w:rsidR="00023796" w:rsidRPr="00023796" w:rsidRDefault="00023796" w:rsidP="00023796">
      <w:pPr>
        <w:spacing w:line="360" w:lineRule="auto"/>
        <w:ind w:left="851" w:right="780"/>
        <w:jc w:val="both"/>
        <w:rPr>
          <w:sz w:val="21"/>
          <w:szCs w:val="21"/>
        </w:rPr>
      </w:pPr>
      <w:r w:rsidRPr="00023796">
        <w:rPr>
          <w:sz w:val="21"/>
          <w:szCs w:val="21"/>
        </w:rPr>
        <w:t xml:space="preserve">A livello nazionale RPCT ha preso in esame gli indicatori di contesto (aggiornati al giugno 2024) e il Cruscotto dei Contesti, messi a disposizione da ANAC e con cui vengono presi in considerazione diciotto indicatori elementari accolti su quattro domini tematici (criminalità, istruzione, capitale sociale, economia), da cui emerge che la </w:t>
      </w:r>
      <w:r w:rsidRPr="00023796">
        <w:rPr>
          <w:sz w:val="21"/>
          <w:szCs w:val="21"/>
          <w:u w:val="single"/>
        </w:rPr>
        <w:t>Liguria</w:t>
      </w:r>
      <w:r w:rsidRPr="00023796">
        <w:rPr>
          <w:sz w:val="21"/>
          <w:szCs w:val="21"/>
        </w:rPr>
        <w:t xml:space="preserve"> e la </w:t>
      </w:r>
      <w:r w:rsidRPr="00023796">
        <w:rPr>
          <w:sz w:val="21"/>
          <w:szCs w:val="21"/>
          <w:u w:val="single"/>
        </w:rPr>
        <w:t>provincia di Savona</w:t>
      </w:r>
      <w:r w:rsidRPr="00023796">
        <w:rPr>
          <w:sz w:val="21"/>
          <w:szCs w:val="21"/>
        </w:rPr>
        <w:t xml:space="preserve"> non risultano essere, tra le regioni e provincie italiane, tra quelle con maggiore indice di percezione della corruzione.</w:t>
      </w:r>
    </w:p>
    <w:p w14:paraId="56F0990B" w14:textId="7A5BC325" w:rsidR="00023796" w:rsidRDefault="00023796" w:rsidP="00023796">
      <w:pPr>
        <w:spacing w:line="360" w:lineRule="auto"/>
        <w:ind w:left="851" w:right="780"/>
        <w:jc w:val="both"/>
        <w:rPr>
          <w:sz w:val="21"/>
          <w:szCs w:val="21"/>
        </w:rPr>
      </w:pPr>
      <w:r>
        <w:rPr>
          <w:noProof/>
        </w:rPr>
        <w:drawing>
          <wp:inline distT="0" distB="0" distL="0" distR="0" wp14:anchorId="2D5A52FC" wp14:editId="50C90F6B">
            <wp:extent cx="4868694" cy="3969111"/>
            <wp:effectExtent l="0" t="0" r="8255" b="0"/>
            <wp:docPr id="16581779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77978" name=""/>
                    <pic:cNvPicPr/>
                  </pic:nvPicPr>
                  <pic:blipFill rotWithShape="1">
                    <a:blip r:embed="rId14"/>
                    <a:srcRect l="622" t="24403" r="50175" b="979"/>
                    <a:stretch/>
                  </pic:blipFill>
                  <pic:spPr bwMode="auto">
                    <a:xfrm>
                      <a:off x="0" y="0"/>
                      <a:ext cx="4884465" cy="3981968"/>
                    </a:xfrm>
                    <a:prstGeom prst="rect">
                      <a:avLst/>
                    </a:prstGeom>
                    <a:ln>
                      <a:noFill/>
                    </a:ln>
                    <a:extLst>
                      <a:ext uri="{53640926-AAD7-44D8-BBD7-CCE9431645EC}">
                        <a14:shadowObscured xmlns:a14="http://schemas.microsoft.com/office/drawing/2010/main"/>
                      </a:ext>
                    </a:extLst>
                  </pic:spPr>
                </pic:pic>
              </a:graphicData>
            </a:graphic>
          </wp:inline>
        </w:drawing>
      </w:r>
    </w:p>
    <w:p w14:paraId="672C2AA3" w14:textId="77777777" w:rsidR="00023796" w:rsidRPr="00023796" w:rsidRDefault="00023796" w:rsidP="00023796">
      <w:pPr>
        <w:spacing w:line="360" w:lineRule="auto"/>
        <w:ind w:left="851" w:right="780"/>
        <w:jc w:val="both"/>
        <w:rPr>
          <w:sz w:val="21"/>
          <w:szCs w:val="21"/>
        </w:rPr>
      </w:pPr>
      <w:proofErr w:type="gramStart"/>
      <w:r w:rsidRPr="00023796">
        <w:rPr>
          <w:sz w:val="21"/>
          <w:szCs w:val="21"/>
        </w:rPr>
        <w:t>E’</w:t>
      </w:r>
      <w:proofErr w:type="gramEnd"/>
      <w:r w:rsidRPr="00023796">
        <w:rPr>
          <w:sz w:val="21"/>
          <w:szCs w:val="21"/>
        </w:rPr>
        <w:t xml:space="preserve"> stata pubblicata sul sito del Senato della Repubblica la relazione semestrale della DIA (Direzione Investigativa Antimafia) presentata dal Ministro dell’Interno e relativa all’analisi sui fenomeni di criminalità organizzata di stampo mafioso del </w:t>
      </w:r>
      <w:r w:rsidRPr="00023796">
        <w:rPr>
          <w:sz w:val="21"/>
          <w:szCs w:val="21"/>
          <w:u w:val="single"/>
        </w:rPr>
        <w:t>I semestre del 2023</w:t>
      </w:r>
      <w:r w:rsidRPr="00023796">
        <w:rPr>
          <w:sz w:val="21"/>
          <w:szCs w:val="21"/>
        </w:rPr>
        <w:t>.</w:t>
      </w:r>
    </w:p>
    <w:p w14:paraId="246CA1C8" w14:textId="77777777" w:rsidR="00023796" w:rsidRPr="00023796" w:rsidRDefault="00023796" w:rsidP="00023796">
      <w:pPr>
        <w:spacing w:line="360" w:lineRule="auto"/>
        <w:ind w:left="851" w:right="780"/>
        <w:jc w:val="both"/>
        <w:rPr>
          <w:sz w:val="21"/>
          <w:szCs w:val="21"/>
        </w:rPr>
      </w:pPr>
      <w:r w:rsidRPr="00023796">
        <w:rPr>
          <w:sz w:val="21"/>
          <w:szCs w:val="21"/>
        </w:rPr>
        <w:t xml:space="preserve">L’analisi è realizzata sulla base delle evidenze investigative, giudiziarie e di prevenzione e conferma, ancora una volta, che il modello ispiratore delle diverse organizzazioni criminali di tipo mafioso appare sempre meno legato a eclatanti manifestazioni di violenza ed è, </w:t>
      </w:r>
      <w:r w:rsidRPr="00023796">
        <w:rPr>
          <w:sz w:val="21"/>
          <w:szCs w:val="21"/>
        </w:rPr>
        <w:lastRenderedPageBreak/>
        <w:t xml:space="preserve">invece, rivolto verso l’infiltrazione economico-finanziaria. Ciò evidenzia la strategicità dell’aggressione ai sodalizi mafiosi anche sotto il profilo patrimoniale tesa ad arginare il riutilizzo dei capitali illecitamente accumulati per evitare l’inquinamento dei mercati e dell’Ordine pubblico economico. </w:t>
      </w:r>
    </w:p>
    <w:p w14:paraId="2DC82C70" w14:textId="77777777" w:rsidR="00334ECA" w:rsidRPr="00334ECA" w:rsidRDefault="00334ECA" w:rsidP="00334ECA">
      <w:pPr>
        <w:spacing w:line="360" w:lineRule="auto"/>
        <w:ind w:left="851" w:right="780"/>
        <w:jc w:val="both"/>
        <w:rPr>
          <w:sz w:val="21"/>
          <w:szCs w:val="21"/>
        </w:rPr>
      </w:pPr>
      <w:r w:rsidRPr="00334ECA">
        <w:rPr>
          <w:sz w:val="21"/>
          <w:szCs w:val="21"/>
        </w:rPr>
        <w:t xml:space="preserve">Nella Relazione semestrale al dicembre 2024 la DIA ha evidenziato come non si siano registrate evidenze investigative o giudiziarie che abbiano fatto emergere significative variazioni strutturali rispetto ai sodalizi autoctoni mafiosi e stranieri attivi in Liguria. È ormai assodato che la dimensione economica dei clan mafiosi operanti in Liguria generalmente prevalga su quella violenta secondo il paradigma della mafia silente tipico dei sodalizi extramoenia. Il territorio della Liguria appare sul piano criminale caratterizzato dalla presenza strutturata di consorterie mafiose riferibili quasi esclusivamente alla ‘ndrangheta, sebbene sia emersa l’operatività anche di organizzazioni criminali straniere, perlopiù albanesi e sudamericane, specializzate nel narcotraffico. Si è preso, tuttavia, anche atto di rischi di altra natura, in particolare </w:t>
      </w:r>
      <w:proofErr w:type="gramStart"/>
      <w:r w:rsidRPr="00334ECA">
        <w:rPr>
          <w:sz w:val="21"/>
          <w:szCs w:val="21"/>
        </w:rPr>
        <w:t>corruttiva .</w:t>
      </w:r>
      <w:proofErr w:type="gramEnd"/>
    </w:p>
    <w:p w14:paraId="735D89B2" w14:textId="77777777" w:rsidR="00334ECA" w:rsidRPr="00334ECA" w:rsidRDefault="00334ECA" w:rsidP="00334ECA">
      <w:pPr>
        <w:spacing w:line="360" w:lineRule="auto"/>
        <w:ind w:left="851" w:right="780"/>
        <w:jc w:val="both"/>
        <w:rPr>
          <w:sz w:val="21"/>
          <w:szCs w:val="21"/>
        </w:rPr>
      </w:pPr>
      <w:r w:rsidRPr="00334ECA">
        <w:rPr>
          <w:sz w:val="21"/>
          <w:szCs w:val="21"/>
        </w:rPr>
        <w:t>Sotto l’ulteriore profilo del contesto-socio-economico ligure elementi sono desumibili dal Documento di Economia e Finanza Regionale (Documento di Economia e Finanza 2026-2028).</w:t>
      </w:r>
    </w:p>
    <w:p w14:paraId="667856AA" w14:textId="77777777" w:rsidR="00334ECA" w:rsidRPr="00334ECA" w:rsidRDefault="00334ECA" w:rsidP="00334ECA">
      <w:pPr>
        <w:spacing w:line="360" w:lineRule="auto"/>
        <w:ind w:left="851" w:right="780"/>
        <w:jc w:val="both"/>
        <w:rPr>
          <w:sz w:val="21"/>
          <w:szCs w:val="21"/>
        </w:rPr>
      </w:pPr>
      <w:r w:rsidRPr="00334ECA">
        <w:rPr>
          <w:sz w:val="21"/>
          <w:szCs w:val="21"/>
        </w:rPr>
        <w:t>Tale documento rappresenta il quadro di riferimento per la definizione dei programmi da realizzare e contiene le linee programmatiche pluriennali dell’azione di governo regionale necessarie per il conseguimento degli obiettivi di finanza pubblica definiti dalla normativa statale, ed espone il quadro finanziario unitario regionale, esplicitandone gli strumenti attuativi per il periodo di riferimento.</w:t>
      </w:r>
    </w:p>
    <w:p w14:paraId="31A1B244" w14:textId="77777777" w:rsidR="00334ECA" w:rsidRPr="00334ECA" w:rsidRDefault="00334ECA" w:rsidP="00334ECA">
      <w:pPr>
        <w:spacing w:line="360" w:lineRule="auto"/>
        <w:ind w:left="851" w:right="780"/>
        <w:jc w:val="both"/>
        <w:rPr>
          <w:sz w:val="21"/>
          <w:szCs w:val="21"/>
        </w:rPr>
      </w:pPr>
      <w:r w:rsidRPr="00334ECA">
        <w:rPr>
          <w:sz w:val="21"/>
          <w:szCs w:val="21"/>
        </w:rPr>
        <w:t>Lo scenario macro economico risulta impattato da un aumento sostanziale delle barriere commerciali, inasprimento delle condizioni finanziarie, calo della fiducia di imprese e consumatori e accresciuta incertezza politica, che, se persisteranno, comporteranno effetti negativi significativi sulle prospettive di crescita. Malgrado un quadro globale di profonda incertezza, per il triennio di riferimento 2026-2028 le previsioni evidenziano per la Liguria tassi di crescita positivi in media intorno all’1 per cento: l’economia sarà trainata principalmente dai consumi delle famiglie e dagli investimenti – quest’ultimi sostenuti ancora dalle risorse del PNRR – favoriti dal calo dei tassi di interesse e dal progressivo rientro dell’inflazione, nonché dai consueti punti di forza regionali quali le attività legate alle attività portuali, all’economia del mare e al turismo.</w:t>
      </w:r>
    </w:p>
    <w:p w14:paraId="2340B3DF" w14:textId="77777777" w:rsidR="00334ECA" w:rsidRPr="00334ECA" w:rsidRDefault="00334ECA" w:rsidP="00334ECA">
      <w:pPr>
        <w:spacing w:line="360" w:lineRule="auto"/>
        <w:ind w:left="851" w:right="780"/>
        <w:jc w:val="both"/>
        <w:rPr>
          <w:sz w:val="21"/>
          <w:szCs w:val="21"/>
        </w:rPr>
      </w:pPr>
      <w:r w:rsidRPr="00334ECA">
        <w:rPr>
          <w:sz w:val="21"/>
          <w:szCs w:val="21"/>
        </w:rPr>
        <w:t xml:space="preserve">In definitiva si ritiene che le attività della Società -anche in virtù del pregnante controllo da parte del socio controllante- non paiano influenzabili da un eventuale contesto esterno negativo di riferimento. </w:t>
      </w:r>
    </w:p>
    <w:p w14:paraId="04412B56" w14:textId="77777777" w:rsidR="00334ECA" w:rsidRPr="00334ECA" w:rsidRDefault="00334ECA" w:rsidP="00334ECA">
      <w:pPr>
        <w:spacing w:line="360" w:lineRule="auto"/>
        <w:ind w:left="851" w:right="780"/>
        <w:jc w:val="both"/>
        <w:rPr>
          <w:sz w:val="21"/>
          <w:szCs w:val="21"/>
        </w:rPr>
      </w:pPr>
      <w:r w:rsidRPr="00334ECA">
        <w:rPr>
          <w:sz w:val="21"/>
          <w:szCs w:val="21"/>
        </w:rPr>
        <w:t xml:space="preserve">A livello nazionale RPCT ha preso altresì in esame gli indicatori di contesto (tuttora aggiornati </w:t>
      </w:r>
      <w:r w:rsidRPr="00334ECA">
        <w:rPr>
          <w:sz w:val="21"/>
          <w:szCs w:val="21"/>
        </w:rPr>
        <w:lastRenderedPageBreak/>
        <w:t>al giugno 2024) e il Cruscotto dei Contesti, messi a disposizione da Anac e con cui vengono presi in considerazione diciotto indicatori elementari accolti su quattro domini tematici (criminalità, istruzione, capitale sociale, economia), da cui emerge che la Liguria e la provincia di Genova non risultano essere, tra le regioni e provincie italiane, tra quelle con maggiore indice di percezione della corruzione.</w:t>
      </w:r>
    </w:p>
    <w:p w14:paraId="6C51D86D" w14:textId="77777777" w:rsidR="00334ECA" w:rsidRDefault="00334ECA" w:rsidP="00334ECA">
      <w:pPr>
        <w:spacing w:line="360" w:lineRule="auto"/>
        <w:ind w:left="851" w:right="780"/>
        <w:jc w:val="both"/>
        <w:rPr>
          <w:sz w:val="21"/>
          <w:szCs w:val="21"/>
        </w:rPr>
      </w:pPr>
      <w:r w:rsidRPr="00334ECA">
        <w:rPr>
          <w:sz w:val="21"/>
          <w:szCs w:val="21"/>
        </w:rPr>
        <w:t>Pur tuttavia i dati non risultano aggiornati e conseguentemente RPCT ha ritenuto di esaminare ulteriori dati, aggiornati, riferiti al contesto territoriale di riferimento</w:t>
      </w:r>
      <w:r>
        <w:rPr>
          <w:sz w:val="21"/>
          <w:szCs w:val="21"/>
        </w:rPr>
        <w:t xml:space="preserve">. </w:t>
      </w:r>
    </w:p>
    <w:p w14:paraId="7CF75089" w14:textId="7ABAD387" w:rsidR="00D85672" w:rsidRPr="002034D7" w:rsidRDefault="00D85672" w:rsidP="00334ECA">
      <w:pPr>
        <w:spacing w:line="360" w:lineRule="auto"/>
        <w:ind w:left="851" w:right="780"/>
        <w:jc w:val="both"/>
        <w:rPr>
          <w:b/>
          <w:sz w:val="21"/>
          <w:szCs w:val="21"/>
        </w:rPr>
      </w:pPr>
      <w:r w:rsidRPr="002034D7">
        <w:rPr>
          <w:sz w:val="21"/>
          <w:szCs w:val="21"/>
        </w:rPr>
        <w:t xml:space="preserve">Infine, dal </w:t>
      </w:r>
      <w:r w:rsidRPr="004B7928">
        <w:rPr>
          <w:b/>
          <w:bCs/>
          <w:sz w:val="21"/>
          <w:szCs w:val="21"/>
          <w:u w:val="single"/>
        </w:rPr>
        <w:t>punto di vista sociale</w:t>
      </w:r>
      <w:r w:rsidRPr="002034D7">
        <w:rPr>
          <w:sz w:val="21"/>
          <w:szCs w:val="21"/>
        </w:rPr>
        <w:t xml:space="preserve">, </w:t>
      </w:r>
      <w:r w:rsidRPr="004B7928">
        <w:rPr>
          <w:b/>
          <w:bCs/>
          <w:sz w:val="21"/>
          <w:szCs w:val="21"/>
          <w:u w:val="single"/>
        </w:rPr>
        <w:t>di particolare rilievo per le attività gestite da ASP e EBS</w:t>
      </w:r>
      <w:r w:rsidRPr="002034D7">
        <w:rPr>
          <w:sz w:val="21"/>
          <w:szCs w:val="21"/>
        </w:rPr>
        <w:t xml:space="preserve"> è la valutazione della composizione del territorio di riferimento. Continua il trend discendente della popolazione ligure. La struttura della popolazione ligure evidenzia un’elevata componente anziana.</w:t>
      </w:r>
    </w:p>
    <w:p w14:paraId="36D9901B" w14:textId="3B64CCF5" w:rsidR="00D85672" w:rsidRDefault="00D85672" w:rsidP="00D85672">
      <w:pPr>
        <w:spacing w:line="360" w:lineRule="auto"/>
        <w:ind w:left="851" w:right="780"/>
        <w:jc w:val="both"/>
        <w:rPr>
          <w:sz w:val="21"/>
          <w:szCs w:val="21"/>
        </w:rPr>
      </w:pPr>
      <w:r w:rsidRPr="002034D7">
        <w:rPr>
          <w:sz w:val="21"/>
          <w:szCs w:val="21"/>
        </w:rPr>
        <w:t>Sotto detto ultimo profilo è di interesse la elaborazione su dati ISTAT della struttura della popolazione e degli indicatori demografici di Genova negli ultimi anni</w:t>
      </w:r>
      <w:r>
        <w:rPr>
          <w:sz w:val="21"/>
          <w:szCs w:val="21"/>
        </w:rPr>
        <w:t>, che viene di seguito riportata,</w:t>
      </w:r>
      <w:r w:rsidR="00334ECA">
        <w:rPr>
          <w:sz w:val="21"/>
          <w:szCs w:val="21"/>
        </w:rPr>
        <w:t xml:space="preserve"> </w:t>
      </w:r>
      <w:r w:rsidRPr="004B7928">
        <w:rPr>
          <w:b/>
          <w:bCs/>
          <w:sz w:val="21"/>
          <w:szCs w:val="21"/>
          <w:u w:val="single"/>
        </w:rPr>
        <w:t>aggiornata al 202</w:t>
      </w:r>
      <w:r w:rsidR="00334ECA">
        <w:rPr>
          <w:b/>
          <w:bCs/>
          <w:sz w:val="21"/>
          <w:szCs w:val="21"/>
          <w:u w:val="single"/>
        </w:rPr>
        <w:t>5</w:t>
      </w:r>
      <w:r>
        <w:rPr>
          <w:sz w:val="21"/>
          <w:szCs w:val="21"/>
        </w:rPr>
        <w:t>.</w:t>
      </w:r>
    </w:p>
    <w:p w14:paraId="537A2ADB" w14:textId="77777777" w:rsidR="00D85672" w:rsidRPr="00834D83" w:rsidRDefault="00D85672" w:rsidP="00D85672">
      <w:pPr>
        <w:widowControl/>
        <w:shd w:val="clear" w:color="auto" w:fill="FFFFFF"/>
        <w:autoSpaceDE/>
        <w:autoSpaceDN/>
        <w:spacing w:before="75" w:line="360" w:lineRule="auto"/>
        <w:ind w:left="851" w:right="780"/>
        <w:jc w:val="both"/>
        <w:rPr>
          <w:sz w:val="21"/>
          <w:szCs w:val="21"/>
        </w:rPr>
      </w:pPr>
      <w:r w:rsidRPr="00834D83">
        <w:rPr>
          <w:sz w:val="21"/>
          <w:szCs w:val="21"/>
        </w:rPr>
        <w:t>L'analisi della struttura per età di una popolazione considera tre fasce di età: giovani 0-14 anni, adulti 15-64 anni e anziani 65 anni ed oltre. In base alle diverse proporzioni fra tali fasce di età, la struttura di una popolazione viene definita di tipo progressiva, stazionaria o regressiva a seconda che la popolazione giovane sia maggiore, equivalente o minore di quella anziana.</w:t>
      </w:r>
    </w:p>
    <w:p w14:paraId="10CB059A" w14:textId="77777777" w:rsidR="00D85672" w:rsidRPr="00834D83" w:rsidRDefault="00D85672" w:rsidP="00D85672">
      <w:pPr>
        <w:widowControl/>
        <w:shd w:val="clear" w:color="auto" w:fill="FFFFFF"/>
        <w:autoSpaceDE/>
        <w:autoSpaceDN/>
        <w:spacing w:before="75" w:line="360" w:lineRule="auto"/>
        <w:ind w:left="851" w:right="780"/>
        <w:jc w:val="both"/>
        <w:rPr>
          <w:sz w:val="21"/>
          <w:szCs w:val="21"/>
        </w:rPr>
      </w:pPr>
      <w:r w:rsidRPr="00834D83">
        <w:rPr>
          <w:sz w:val="21"/>
          <w:szCs w:val="21"/>
        </w:rPr>
        <w:t>Lo studio di tali rapporti è importante per valutare alcuni impatti sul sistema sociale, ad esempio sul sistema lavorativo o su quello sanitario.</w:t>
      </w:r>
    </w:p>
    <w:p w14:paraId="57A2A9F4" w14:textId="2517AC18" w:rsidR="00D85672" w:rsidRDefault="00D85672" w:rsidP="00D85672">
      <w:pPr>
        <w:widowControl/>
        <w:shd w:val="clear" w:color="auto" w:fill="FFFFFF"/>
        <w:autoSpaceDE/>
        <w:autoSpaceDN/>
        <w:ind w:left="851"/>
        <w:jc w:val="both"/>
        <w:rPr>
          <w:rFonts w:ascii="Arial" w:eastAsia="Times New Roman" w:hAnsi="Arial" w:cs="Arial"/>
          <w:color w:val="333333"/>
          <w:sz w:val="20"/>
          <w:szCs w:val="20"/>
          <w:lang w:bidi="ar-SA"/>
        </w:rPr>
      </w:pPr>
    </w:p>
    <w:p w14:paraId="165EDAA6" w14:textId="19FFFD65" w:rsidR="00D85672" w:rsidRDefault="00334ECA" w:rsidP="003A2657">
      <w:pPr>
        <w:widowControl/>
        <w:shd w:val="clear" w:color="auto" w:fill="FFFFFF"/>
        <w:autoSpaceDE/>
        <w:autoSpaceDN/>
        <w:ind w:left="851"/>
        <w:jc w:val="both"/>
        <w:rPr>
          <w:rFonts w:ascii="Arial" w:eastAsia="Times New Roman" w:hAnsi="Arial" w:cs="Arial"/>
          <w:color w:val="333333"/>
          <w:sz w:val="20"/>
          <w:szCs w:val="20"/>
          <w:lang w:bidi="ar-SA"/>
        </w:rPr>
      </w:pPr>
      <w:r>
        <w:rPr>
          <w:noProof/>
        </w:rPr>
        <w:drawing>
          <wp:inline distT="0" distB="0" distL="0" distR="0" wp14:anchorId="0CA8BD5F" wp14:editId="20537FC3">
            <wp:extent cx="5841460" cy="2524407"/>
            <wp:effectExtent l="0" t="0" r="6985" b="9525"/>
            <wp:docPr id="14257901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90186" name=""/>
                    <pic:cNvPicPr/>
                  </pic:nvPicPr>
                  <pic:blipFill rotWithShape="1">
                    <a:blip r:embed="rId15"/>
                    <a:srcRect l="34662" t="34018" r="36859" b="43086"/>
                    <a:stretch>
                      <a:fillRect/>
                    </a:stretch>
                  </pic:blipFill>
                  <pic:spPr bwMode="auto">
                    <a:xfrm>
                      <a:off x="0" y="0"/>
                      <a:ext cx="5891191" cy="2545898"/>
                    </a:xfrm>
                    <a:prstGeom prst="rect">
                      <a:avLst/>
                    </a:prstGeom>
                    <a:ln>
                      <a:noFill/>
                    </a:ln>
                    <a:extLst>
                      <a:ext uri="{53640926-AAD7-44D8-BBD7-CCE9431645EC}">
                        <a14:shadowObscured xmlns:a14="http://schemas.microsoft.com/office/drawing/2010/main"/>
                      </a:ext>
                    </a:extLst>
                  </pic:spPr>
                </pic:pic>
              </a:graphicData>
            </a:graphic>
          </wp:inline>
        </w:drawing>
      </w:r>
    </w:p>
    <w:p w14:paraId="204C3AFA" w14:textId="4E2067C1" w:rsidR="003A2657" w:rsidRDefault="003A2657" w:rsidP="003A2657">
      <w:pPr>
        <w:widowControl/>
        <w:shd w:val="clear" w:color="auto" w:fill="FFFFFF"/>
        <w:autoSpaceDE/>
        <w:autoSpaceDN/>
        <w:ind w:left="851"/>
        <w:jc w:val="both"/>
        <w:rPr>
          <w:rFonts w:ascii="Arial" w:eastAsia="Times New Roman" w:hAnsi="Arial" w:cs="Arial"/>
          <w:color w:val="333333"/>
          <w:sz w:val="20"/>
          <w:szCs w:val="20"/>
          <w:lang w:bidi="ar-SA"/>
        </w:rPr>
      </w:pPr>
      <w:r>
        <w:rPr>
          <w:rFonts w:ascii="Arial" w:eastAsia="Times New Roman" w:hAnsi="Arial" w:cs="Arial"/>
          <w:color w:val="333333"/>
          <w:sz w:val="20"/>
          <w:szCs w:val="20"/>
          <w:lang w:bidi="ar-SA"/>
        </w:rPr>
        <w:t>Struttura per età della popolazione:</w:t>
      </w:r>
    </w:p>
    <w:p w14:paraId="5C54E670" w14:textId="0FD04D6B" w:rsidR="003A2657" w:rsidRDefault="00334ECA" w:rsidP="003A2657">
      <w:pPr>
        <w:widowControl/>
        <w:shd w:val="clear" w:color="auto" w:fill="FFFFFF"/>
        <w:autoSpaceDE/>
        <w:autoSpaceDN/>
        <w:ind w:left="851"/>
        <w:jc w:val="both"/>
        <w:rPr>
          <w:rFonts w:ascii="Arial" w:eastAsia="Times New Roman" w:hAnsi="Arial" w:cs="Arial"/>
          <w:color w:val="333333"/>
          <w:sz w:val="20"/>
          <w:szCs w:val="20"/>
          <w:lang w:bidi="ar-SA"/>
        </w:rPr>
      </w:pPr>
      <w:r>
        <w:rPr>
          <w:noProof/>
        </w:rPr>
        <w:lastRenderedPageBreak/>
        <w:drawing>
          <wp:inline distT="0" distB="0" distL="0" distR="0" wp14:anchorId="4536B1D3" wp14:editId="2E053E0E">
            <wp:extent cx="4411494" cy="5680584"/>
            <wp:effectExtent l="0" t="0" r="8255" b="0"/>
            <wp:docPr id="4568575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57570" name=""/>
                    <pic:cNvPicPr/>
                  </pic:nvPicPr>
                  <pic:blipFill rotWithShape="1">
                    <a:blip r:embed="rId16"/>
                    <a:srcRect l="34325" t="14545" r="36172" b="14782"/>
                    <a:stretch>
                      <a:fillRect/>
                    </a:stretch>
                  </pic:blipFill>
                  <pic:spPr bwMode="auto">
                    <a:xfrm>
                      <a:off x="0" y="0"/>
                      <a:ext cx="4422707" cy="5695023"/>
                    </a:xfrm>
                    <a:prstGeom prst="rect">
                      <a:avLst/>
                    </a:prstGeom>
                    <a:ln>
                      <a:noFill/>
                    </a:ln>
                    <a:extLst>
                      <a:ext uri="{53640926-AAD7-44D8-BBD7-CCE9431645EC}">
                        <a14:shadowObscured xmlns:a14="http://schemas.microsoft.com/office/drawing/2010/main"/>
                      </a:ext>
                    </a:extLst>
                  </pic:spPr>
                </pic:pic>
              </a:graphicData>
            </a:graphic>
          </wp:inline>
        </w:drawing>
      </w:r>
    </w:p>
    <w:p w14:paraId="744E4637" w14:textId="77777777" w:rsidR="00D85672" w:rsidRDefault="00D85672" w:rsidP="00D85672">
      <w:pPr>
        <w:widowControl/>
        <w:shd w:val="clear" w:color="auto" w:fill="FFFFFF"/>
        <w:autoSpaceDE/>
        <w:autoSpaceDN/>
        <w:ind w:left="851"/>
        <w:jc w:val="both"/>
        <w:rPr>
          <w:rFonts w:ascii="Arial" w:eastAsia="Times New Roman" w:hAnsi="Arial" w:cs="Arial"/>
          <w:color w:val="333333"/>
          <w:sz w:val="20"/>
          <w:szCs w:val="20"/>
          <w:lang w:bidi="ar-SA"/>
        </w:rPr>
      </w:pPr>
    </w:p>
    <w:p w14:paraId="79E8B313" w14:textId="77777777" w:rsidR="00D85672" w:rsidRPr="00834D83" w:rsidRDefault="00D85672" w:rsidP="00D85672">
      <w:pPr>
        <w:ind w:left="851" w:right="780"/>
        <w:jc w:val="both"/>
        <w:rPr>
          <w:b/>
          <w:sz w:val="20"/>
          <w:szCs w:val="20"/>
        </w:rPr>
      </w:pPr>
      <w:r w:rsidRPr="00834D83">
        <w:rPr>
          <w:sz w:val="20"/>
          <w:szCs w:val="20"/>
        </w:rPr>
        <w:t xml:space="preserve">(tratto da </w:t>
      </w:r>
      <w:hyperlink r:id="rId17" w:history="1">
        <w:r w:rsidRPr="00834D83">
          <w:rPr>
            <w:rStyle w:val="Collegamentoipertestuale"/>
            <w:sz w:val="20"/>
            <w:szCs w:val="20"/>
          </w:rPr>
          <w:t>https://www.tuttitalia.it/liguria/45-gen</w:t>
        </w:r>
        <w:r w:rsidRPr="00834D83">
          <w:rPr>
            <w:rStyle w:val="Collegamentoipertestuale"/>
            <w:sz w:val="20"/>
            <w:szCs w:val="20"/>
          </w:rPr>
          <w:t>o</w:t>
        </w:r>
        <w:r w:rsidRPr="00834D83">
          <w:rPr>
            <w:rStyle w:val="Collegamentoipertestuale"/>
            <w:sz w:val="20"/>
            <w:szCs w:val="20"/>
          </w:rPr>
          <w:t>va/statistiche/indici-demografici-struttura-popolazione/</w:t>
        </w:r>
      </w:hyperlink>
      <w:r w:rsidRPr="00834D83">
        <w:rPr>
          <w:sz w:val="20"/>
          <w:szCs w:val="20"/>
        </w:rPr>
        <w:t xml:space="preserve">) </w:t>
      </w:r>
    </w:p>
    <w:p w14:paraId="6F2ACCEC" w14:textId="5F6C4043" w:rsidR="00D85672" w:rsidRDefault="00D85672" w:rsidP="00D85672">
      <w:pPr>
        <w:widowControl/>
        <w:shd w:val="clear" w:color="auto" w:fill="FFFFFF"/>
        <w:autoSpaceDE/>
        <w:autoSpaceDN/>
        <w:spacing w:before="75"/>
        <w:ind w:left="851"/>
        <w:jc w:val="both"/>
        <w:rPr>
          <w:rFonts w:ascii="Arial" w:eastAsia="Times New Roman" w:hAnsi="Arial" w:cs="Arial"/>
          <w:color w:val="333333"/>
          <w:sz w:val="23"/>
          <w:szCs w:val="23"/>
          <w:lang w:bidi="ar-SA"/>
        </w:rPr>
      </w:pPr>
      <w:r w:rsidRPr="00834D83">
        <w:rPr>
          <w:rFonts w:ascii="Arial" w:eastAsia="Times New Roman" w:hAnsi="Arial" w:cs="Arial"/>
          <w:color w:val="333333"/>
          <w:sz w:val="23"/>
          <w:szCs w:val="23"/>
          <w:lang w:bidi="ar-SA"/>
        </w:rPr>
        <w:t>Principali indici demografici calcolati sulla popolazione residente a Genova</w:t>
      </w:r>
      <w:r>
        <w:rPr>
          <w:rStyle w:val="Rimandonotaapidipagina"/>
          <w:rFonts w:ascii="Arial" w:eastAsia="Times New Roman" w:hAnsi="Arial"/>
          <w:color w:val="333333"/>
          <w:sz w:val="23"/>
          <w:szCs w:val="23"/>
          <w:lang w:bidi="ar-SA"/>
        </w:rPr>
        <w:footnoteReference w:id="1"/>
      </w:r>
      <w:r w:rsidR="00023796">
        <w:rPr>
          <w:rFonts w:ascii="Arial" w:eastAsia="Times New Roman" w:hAnsi="Arial" w:cs="Arial"/>
          <w:color w:val="333333"/>
          <w:sz w:val="23"/>
          <w:szCs w:val="23"/>
          <w:lang w:bidi="ar-SA"/>
        </w:rPr>
        <w:t>.</w:t>
      </w:r>
    </w:p>
    <w:p w14:paraId="4DFC6EF6" w14:textId="2BDD5854" w:rsidR="00023796" w:rsidRDefault="00023796" w:rsidP="00D85672">
      <w:pPr>
        <w:spacing w:line="360" w:lineRule="auto"/>
        <w:ind w:left="851" w:right="780"/>
        <w:jc w:val="both"/>
        <w:rPr>
          <w:i/>
          <w:iCs/>
          <w:sz w:val="21"/>
          <w:szCs w:val="21"/>
        </w:rPr>
      </w:pPr>
      <w:r>
        <w:rPr>
          <w:i/>
          <w:iCs/>
          <w:sz w:val="21"/>
          <w:szCs w:val="21"/>
        </w:rPr>
        <w:lastRenderedPageBreak/>
        <w:t>Indicatori di struttura e indici di dipendenza anziani</w:t>
      </w:r>
    </w:p>
    <w:p w14:paraId="2642608E" w14:textId="64800EB1" w:rsidR="00023796" w:rsidRPr="00023796" w:rsidRDefault="00023796" w:rsidP="00D85672">
      <w:pPr>
        <w:spacing w:line="360" w:lineRule="auto"/>
        <w:ind w:left="851" w:right="780"/>
        <w:jc w:val="both"/>
        <w:rPr>
          <w:i/>
          <w:iCs/>
          <w:sz w:val="21"/>
          <w:szCs w:val="21"/>
        </w:rPr>
      </w:pPr>
      <w:r>
        <w:rPr>
          <w:noProof/>
        </w:rPr>
        <w:drawing>
          <wp:inline distT="0" distB="0" distL="0" distR="0" wp14:anchorId="1FC08893" wp14:editId="2A933D43">
            <wp:extent cx="6096687" cy="1566153"/>
            <wp:effectExtent l="0" t="0" r="0" b="0"/>
            <wp:docPr id="4269247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24700" name=""/>
                    <pic:cNvPicPr/>
                  </pic:nvPicPr>
                  <pic:blipFill rotWithShape="1">
                    <a:blip r:embed="rId18"/>
                    <a:srcRect l="32623" t="21251" r="32985" b="62313"/>
                    <a:stretch/>
                  </pic:blipFill>
                  <pic:spPr bwMode="auto">
                    <a:xfrm>
                      <a:off x="0" y="0"/>
                      <a:ext cx="6096687" cy="1566153"/>
                    </a:xfrm>
                    <a:prstGeom prst="rect">
                      <a:avLst/>
                    </a:prstGeom>
                    <a:ln>
                      <a:noFill/>
                    </a:ln>
                    <a:extLst>
                      <a:ext uri="{53640926-AAD7-44D8-BBD7-CCE9431645EC}">
                        <a14:shadowObscured xmlns:a14="http://schemas.microsoft.com/office/drawing/2010/main"/>
                      </a:ext>
                    </a:extLst>
                  </pic:spPr>
                </pic:pic>
              </a:graphicData>
            </a:graphic>
          </wp:inline>
        </w:drawing>
      </w:r>
    </w:p>
    <w:p w14:paraId="58045EA9" w14:textId="13CB0707" w:rsidR="00D85672" w:rsidRDefault="00D85672" w:rsidP="00D85672">
      <w:pPr>
        <w:spacing w:line="360" w:lineRule="auto"/>
        <w:ind w:left="851" w:right="780"/>
        <w:jc w:val="both"/>
        <w:rPr>
          <w:sz w:val="21"/>
          <w:szCs w:val="21"/>
        </w:rPr>
      </w:pPr>
      <w:r w:rsidRPr="002034D7">
        <w:rPr>
          <w:sz w:val="21"/>
          <w:szCs w:val="21"/>
        </w:rPr>
        <w:t xml:space="preserve">Lo studio di tali rapporti è importante per valutare alcuni impatti sul sistema sociale, sul sistema lavorativo, su quello </w:t>
      </w:r>
      <w:r w:rsidRPr="002034D7">
        <w:rPr>
          <w:sz w:val="21"/>
          <w:szCs w:val="21"/>
          <w:u w:val="single"/>
        </w:rPr>
        <w:t>socio-sanitario</w:t>
      </w:r>
      <w:r>
        <w:rPr>
          <w:sz w:val="21"/>
          <w:szCs w:val="21"/>
          <w:u w:val="single"/>
        </w:rPr>
        <w:t>-assistenziale</w:t>
      </w:r>
      <w:r w:rsidRPr="002034D7">
        <w:rPr>
          <w:sz w:val="21"/>
          <w:szCs w:val="21"/>
        </w:rPr>
        <w:t>.</w:t>
      </w:r>
      <w:r>
        <w:rPr>
          <w:sz w:val="21"/>
          <w:szCs w:val="21"/>
        </w:rPr>
        <w:t xml:space="preserve"> In conclusione può evidenziarsi come c</w:t>
      </w:r>
      <w:r w:rsidRPr="00F70EC3">
        <w:rPr>
          <w:sz w:val="21"/>
          <w:szCs w:val="21"/>
        </w:rPr>
        <w:t>ontinu</w:t>
      </w:r>
      <w:r>
        <w:rPr>
          <w:sz w:val="21"/>
          <w:szCs w:val="21"/>
        </w:rPr>
        <w:t>i</w:t>
      </w:r>
      <w:r w:rsidRPr="00F70EC3">
        <w:rPr>
          <w:sz w:val="21"/>
          <w:szCs w:val="21"/>
        </w:rPr>
        <w:t xml:space="preserve"> il trend discendente </w:t>
      </w:r>
      <w:r>
        <w:rPr>
          <w:sz w:val="21"/>
          <w:szCs w:val="21"/>
        </w:rPr>
        <w:t xml:space="preserve">e di invecchiamento </w:t>
      </w:r>
      <w:r w:rsidRPr="00F70EC3">
        <w:rPr>
          <w:sz w:val="21"/>
          <w:szCs w:val="21"/>
        </w:rPr>
        <w:t>della popolazione ligure</w:t>
      </w:r>
      <w:r>
        <w:rPr>
          <w:sz w:val="21"/>
          <w:szCs w:val="21"/>
        </w:rPr>
        <w:t>.</w:t>
      </w:r>
    </w:p>
    <w:p w14:paraId="3AB06D02" w14:textId="77777777" w:rsidR="00D85672" w:rsidRPr="00E214F6" w:rsidRDefault="00D85672" w:rsidP="00D85672">
      <w:pPr>
        <w:spacing w:line="360" w:lineRule="auto"/>
        <w:ind w:left="851" w:right="780"/>
        <w:jc w:val="both"/>
        <w:rPr>
          <w:bCs/>
          <w:sz w:val="21"/>
          <w:szCs w:val="21"/>
        </w:rPr>
      </w:pPr>
      <w:r w:rsidRPr="00E214F6">
        <w:rPr>
          <w:bCs/>
          <w:sz w:val="21"/>
          <w:szCs w:val="21"/>
        </w:rPr>
        <w:t xml:space="preserve">Compiute dette doverose premesse si </w:t>
      </w:r>
      <w:r>
        <w:rPr>
          <w:bCs/>
          <w:sz w:val="21"/>
          <w:szCs w:val="21"/>
        </w:rPr>
        <w:t xml:space="preserve">ritiene che i dati sopra riportati possano portare ad un </w:t>
      </w:r>
      <w:r w:rsidRPr="00334ECA">
        <w:rPr>
          <w:bCs/>
          <w:sz w:val="21"/>
          <w:szCs w:val="21"/>
          <w:u w:val="single"/>
        </w:rPr>
        <w:t>incremento della domanda ad EBS</w:t>
      </w:r>
      <w:r>
        <w:rPr>
          <w:bCs/>
          <w:sz w:val="21"/>
          <w:szCs w:val="21"/>
        </w:rPr>
        <w:t>, ma al contempo che</w:t>
      </w:r>
      <w:r w:rsidRPr="00E214F6">
        <w:rPr>
          <w:bCs/>
          <w:sz w:val="21"/>
          <w:szCs w:val="21"/>
        </w:rPr>
        <w:t xml:space="preserve"> le attività della Società</w:t>
      </w:r>
      <w:r>
        <w:rPr>
          <w:bCs/>
          <w:sz w:val="21"/>
          <w:szCs w:val="21"/>
        </w:rPr>
        <w:t xml:space="preserve"> -anche in virtù del pregnante controllo da parte del socio controllante-</w:t>
      </w:r>
      <w:r w:rsidRPr="00E214F6">
        <w:rPr>
          <w:bCs/>
          <w:sz w:val="21"/>
          <w:szCs w:val="21"/>
        </w:rPr>
        <w:t xml:space="preserve"> non paiono influenza</w:t>
      </w:r>
      <w:r>
        <w:rPr>
          <w:bCs/>
          <w:sz w:val="21"/>
          <w:szCs w:val="21"/>
        </w:rPr>
        <w:t>bili</w:t>
      </w:r>
      <w:r w:rsidRPr="00E214F6">
        <w:rPr>
          <w:bCs/>
          <w:sz w:val="21"/>
          <w:szCs w:val="21"/>
        </w:rPr>
        <w:t xml:space="preserve"> da un eventuale contesto esterno negativo di riferimento. </w:t>
      </w:r>
    </w:p>
    <w:p w14:paraId="4C6C7A3E" w14:textId="4DB38F79" w:rsidR="0078795B" w:rsidRPr="002034D7" w:rsidRDefault="00E214F6" w:rsidP="002034D7">
      <w:pPr>
        <w:pStyle w:val="Titolo1"/>
        <w:tabs>
          <w:tab w:val="left" w:pos="851"/>
        </w:tabs>
        <w:spacing w:before="200" w:line="360" w:lineRule="auto"/>
        <w:ind w:left="851" w:right="939" w:firstLine="0"/>
        <w:jc w:val="both"/>
        <w:rPr>
          <w:smallCaps/>
        </w:rPr>
      </w:pPr>
      <w:bookmarkStart w:id="52" w:name="_Toc220506569"/>
      <w:bookmarkEnd w:id="51"/>
      <w:r>
        <w:rPr>
          <w:smallCaps/>
        </w:rPr>
        <w:t>8.1.</w:t>
      </w:r>
      <w:r w:rsidR="0078795B" w:rsidRPr="002034D7">
        <w:rPr>
          <w:smallCaps/>
        </w:rPr>
        <w:t>2 Contesto Interno e Organizzativo</w:t>
      </w:r>
      <w:bookmarkEnd w:id="52"/>
    </w:p>
    <w:p w14:paraId="789A874B" w14:textId="77777777" w:rsidR="0078795B" w:rsidRPr="002034D7" w:rsidRDefault="0078795B" w:rsidP="002034D7">
      <w:pPr>
        <w:spacing w:line="360" w:lineRule="auto"/>
        <w:ind w:left="851" w:right="780"/>
        <w:jc w:val="both"/>
        <w:rPr>
          <w:b/>
          <w:sz w:val="21"/>
          <w:szCs w:val="21"/>
        </w:rPr>
      </w:pPr>
      <w:r w:rsidRPr="002034D7">
        <w:rPr>
          <w:sz w:val="21"/>
          <w:szCs w:val="21"/>
        </w:rPr>
        <w:t>La valutazione del contesto interno ha come obiettivo quello di evidenziare come le caratteristiche interne dell’azienda possano favorire il verificarsi di fenomeni corruttivi al proprio interno.</w:t>
      </w:r>
    </w:p>
    <w:p w14:paraId="5B45423A" w14:textId="77777777" w:rsidR="0078795B" w:rsidRPr="002034D7" w:rsidRDefault="0078795B" w:rsidP="002034D7">
      <w:pPr>
        <w:spacing w:line="360" w:lineRule="auto"/>
        <w:ind w:left="851" w:right="780"/>
        <w:jc w:val="both"/>
        <w:rPr>
          <w:b/>
          <w:sz w:val="21"/>
          <w:szCs w:val="21"/>
        </w:rPr>
      </w:pPr>
      <w:r w:rsidRPr="002034D7">
        <w:rPr>
          <w:sz w:val="21"/>
          <w:szCs w:val="21"/>
        </w:rPr>
        <w:t>Il Piano Nazionale Anticorruzione evidenzia l’importanza di “</w:t>
      </w:r>
      <w:r w:rsidRPr="002034D7">
        <w:rPr>
          <w:i/>
          <w:sz w:val="21"/>
          <w:szCs w:val="21"/>
        </w:rPr>
        <w:t>segnalare la complessità organizzativa dell’amministrazione in esame, attraverso l’esame della struttura organizzativa, dei ruoli e delle responsabilità interne, così come delle politiche, degli obiettivi e strategie dell’ente</w:t>
      </w:r>
      <w:r w:rsidRPr="002034D7">
        <w:rPr>
          <w:sz w:val="21"/>
          <w:szCs w:val="21"/>
        </w:rPr>
        <w:t>”, verificando, in particolare i seguenti dati: organi di indirizzo, struttura organizzativa, ruoli e responsabilità; politiche, obiettivi e strategie; risorse, conoscenze, sistemi e tecnologie; qualità e quantità del personale; cultura organizzativa, con particolare riferimento alla cultura dell’etica; sistemi e flussi informativi, processi decisionali (sia formali che informali); relazioni interne e esterne. In tale ottica il Piano Anticorruzione e l’adempimento agli obblighi di Trasparenza sono strumenti idonei ad integrare, a loro volta, il Modello 231/01 e la prevenzione delle fattispecie di reato ivi previste, in particolare contro la Pubblica Amministrazione</w:t>
      </w:r>
      <w:r w:rsidR="009F69D1" w:rsidRPr="002034D7">
        <w:rPr>
          <w:sz w:val="21"/>
          <w:szCs w:val="21"/>
        </w:rPr>
        <w:t>.</w:t>
      </w:r>
    </w:p>
    <w:p w14:paraId="0B0AA030" w14:textId="77777777" w:rsidR="009F69D1" w:rsidRPr="002034D7" w:rsidRDefault="009F69D1" w:rsidP="002034D7">
      <w:pPr>
        <w:spacing w:line="360" w:lineRule="auto"/>
        <w:ind w:left="851" w:right="780"/>
        <w:jc w:val="both"/>
        <w:rPr>
          <w:b/>
          <w:sz w:val="21"/>
          <w:szCs w:val="21"/>
        </w:rPr>
      </w:pPr>
      <w:r w:rsidRPr="002034D7">
        <w:rPr>
          <w:sz w:val="21"/>
          <w:szCs w:val="21"/>
        </w:rPr>
        <w:t>L’Azienda pubblica di Servizi alla Persona – ASP Emanuele Brignole ha realizzato a partire dal 2003 una profonda trasformazione e si è completamente riorganizzata, procedendo dai principi fondamentali di amministrazione della cosa pubblica (trasparenza, imparzialità, economicità) e ponendo al centro dell’interesse aziendale la qualità della vita dei cittadini anziani che accedono ai servizi socio-sanitari.</w:t>
      </w:r>
    </w:p>
    <w:p w14:paraId="31B0013E" w14:textId="77777777" w:rsidR="009F69D1" w:rsidRPr="002034D7" w:rsidRDefault="009F69D1" w:rsidP="002034D7">
      <w:pPr>
        <w:spacing w:line="360" w:lineRule="auto"/>
        <w:ind w:left="851" w:right="780"/>
        <w:jc w:val="both"/>
        <w:rPr>
          <w:b/>
          <w:sz w:val="21"/>
          <w:szCs w:val="21"/>
        </w:rPr>
      </w:pPr>
      <w:r w:rsidRPr="002034D7">
        <w:rPr>
          <w:i/>
          <w:sz w:val="21"/>
          <w:szCs w:val="21"/>
          <w:u w:val="single"/>
        </w:rPr>
        <w:t>Mission</w:t>
      </w:r>
    </w:p>
    <w:p w14:paraId="482C7D04" w14:textId="77777777" w:rsidR="00196E05" w:rsidRPr="002034D7" w:rsidRDefault="00196E05" w:rsidP="002034D7">
      <w:pPr>
        <w:spacing w:line="360" w:lineRule="auto"/>
        <w:ind w:left="851" w:right="780"/>
        <w:jc w:val="both"/>
        <w:rPr>
          <w:b/>
          <w:sz w:val="21"/>
          <w:szCs w:val="21"/>
        </w:rPr>
      </w:pPr>
      <w:r w:rsidRPr="002034D7">
        <w:rPr>
          <w:sz w:val="21"/>
          <w:szCs w:val="21"/>
        </w:rPr>
        <w:lastRenderedPageBreak/>
        <w:t>La controllante ASP BRIGNOLE è una azienda pubblica senza scopo di lucro: costituisce, oggi, un centro di servizi assistenziali e sanitari in favore della popolazione anziana non autosufficiente e a rischio di perdita di autonomia, nel rispetto degli standard di qualità previsti dalla normativa nazionale e regionale. Le sue strutture intervengono dove e quando la famiglia e/o gli altri servizi del territorio non sono più in grado di rispondere ai bisogni delle persone anziane offrendo servizi residenziali.</w:t>
      </w:r>
    </w:p>
    <w:p w14:paraId="6DC4E5F5" w14:textId="77777777" w:rsidR="009F69D1" w:rsidRPr="002034D7" w:rsidRDefault="009F69D1" w:rsidP="002034D7">
      <w:pPr>
        <w:spacing w:line="360" w:lineRule="auto"/>
        <w:ind w:left="851" w:right="780"/>
        <w:jc w:val="both"/>
        <w:rPr>
          <w:b/>
          <w:sz w:val="21"/>
          <w:szCs w:val="21"/>
        </w:rPr>
      </w:pPr>
      <w:r w:rsidRPr="002034D7">
        <w:rPr>
          <w:sz w:val="21"/>
          <w:szCs w:val="21"/>
        </w:rPr>
        <w:t>Ad oggi ASP possiede quattro strutture: Coronata, Castelletto, Rivarolo, Struppa. L’unica ad essere gestita direttamente dall’Azienda è l’RSA Doria di Struppa. Le altre residenze sono state date in gestione a soggetti privati a seguito di Bandi di Gestione. La regia rimane comunque pubblica, in quanto l’ASP Brignole si riserva di effettuare frequenti verifiche periodiche riguardanti la qualità dei servizi erogati dagli Enti Gestori tramite il proprio Ufficio Controllo Assistenza e Cura.</w:t>
      </w:r>
    </w:p>
    <w:p w14:paraId="35B6CA3C" w14:textId="77777777" w:rsidR="009F69D1" w:rsidRPr="002034D7" w:rsidRDefault="009F69D1" w:rsidP="002034D7">
      <w:pPr>
        <w:spacing w:line="360" w:lineRule="auto"/>
        <w:ind w:left="851" w:right="780"/>
        <w:jc w:val="both"/>
        <w:rPr>
          <w:b/>
          <w:sz w:val="21"/>
          <w:szCs w:val="21"/>
        </w:rPr>
      </w:pPr>
      <w:r w:rsidRPr="002034D7">
        <w:rPr>
          <w:sz w:val="21"/>
          <w:szCs w:val="21"/>
        </w:rPr>
        <w:t>Vengono offerti, tramite le proprie strutture, ed in particolare RSA Doria, i seguenti servizi:</w:t>
      </w:r>
    </w:p>
    <w:p w14:paraId="2E5C1B1D" w14:textId="77777777" w:rsidR="00E214F6" w:rsidRPr="00E214F6" w:rsidRDefault="009F69D1" w:rsidP="00D506C9">
      <w:pPr>
        <w:pStyle w:val="Paragrafoelenco"/>
        <w:numPr>
          <w:ilvl w:val="0"/>
          <w:numId w:val="26"/>
        </w:numPr>
        <w:spacing w:line="360" w:lineRule="auto"/>
        <w:ind w:right="780" w:firstLine="175"/>
        <w:jc w:val="both"/>
        <w:rPr>
          <w:b/>
          <w:sz w:val="21"/>
          <w:szCs w:val="21"/>
        </w:rPr>
      </w:pPr>
      <w:r w:rsidRPr="00E214F6">
        <w:rPr>
          <w:sz w:val="21"/>
          <w:szCs w:val="21"/>
        </w:rPr>
        <w:t>residenzialità permanente per anziani non autosufficienti totali</w:t>
      </w:r>
    </w:p>
    <w:p w14:paraId="0721CD5D" w14:textId="77777777" w:rsidR="00E214F6" w:rsidRPr="00E214F6" w:rsidRDefault="009F69D1" w:rsidP="00D506C9">
      <w:pPr>
        <w:pStyle w:val="Paragrafoelenco"/>
        <w:numPr>
          <w:ilvl w:val="0"/>
          <w:numId w:val="26"/>
        </w:numPr>
        <w:spacing w:line="360" w:lineRule="auto"/>
        <w:ind w:right="780" w:firstLine="175"/>
        <w:jc w:val="both"/>
        <w:rPr>
          <w:b/>
          <w:sz w:val="21"/>
          <w:szCs w:val="21"/>
        </w:rPr>
      </w:pPr>
      <w:r w:rsidRPr="00E214F6">
        <w:rPr>
          <w:sz w:val="21"/>
          <w:szCs w:val="21"/>
        </w:rPr>
        <w:t>ricoveri a trattativa privata</w:t>
      </w:r>
    </w:p>
    <w:p w14:paraId="0C9A7904" w14:textId="77777777" w:rsidR="00E214F6" w:rsidRPr="00E214F6" w:rsidRDefault="00E214F6" w:rsidP="00D506C9">
      <w:pPr>
        <w:pStyle w:val="Paragrafoelenco"/>
        <w:numPr>
          <w:ilvl w:val="0"/>
          <w:numId w:val="26"/>
        </w:numPr>
        <w:spacing w:line="360" w:lineRule="auto"/>
        <w:ind w:right="780" w:firstLine="175"/>
        <w:jc w:val="both"/>
        <w:rPr>
          <w:b/>
          <w:sz w:val="21"/>
          <w:szCs w:val="21"/>
        </w:rPr>
      </w:pPr>
      <w:r>
        <w:rPr>
          <w:sz w:val="21"/>
          <w:szCs w:val="21"/>
        </w:rPr>
        <w:t>a</w:t>
      </w:r>
      <w:r w:rsidR="009F69D1" w:rsidRPr="00E214F6">
        <w:rPr>
          <w:sz w:val="21"/>
          <w:szCs w:val="21"/>
        </w:rPr>
        <w:t>ssistenza tutelare mirata al mantenimento e stimolazione delle abilità residue</w:t>
      </w:r>
    </w:p>
    <w:p w14:paraId="571F12F2" w14:textId="77777777" w:rsidR="00E214F6" w:rsidRPr="00E214F6" w:rsidRDefault="009F69D1" w:rsidP="00D506C9">
      <w:pPr>
        <w:pStyle w:val="Paragrafoelenco"/>
        <w:numPr>
          <w:ilvl w:val="0"/>
          <w:numId w:val="26"/>
        </w:numPr>
        <w:spacing w:line="360" w:lineRule="auto"/>
        <w:ind w:left="851" w:right="780" w:firstLine="0"/>
        <w:jc w:val="both"/>
        <w:rPr>
          <w:b/>
          <w:sz w:val="21"/>
          <w:szCs w:val="21"/>
        </w:rPr>
      </w:pPr>
      <w:r w:rsidRPr="00E214F6">
        <w:rPr>
          <w:sz w:val="21"/>
          <w:szCs w:val="21"/>
        </w:rPr>
        <w:t>attività sociale e di animazione, che ha lo scopo di migliorare il benessere psicologico degli Ospiti attraverso il supporto psicologico, la relazione interpersonale e la stimolazione Cognitiva</w:t>
      </w:r>
      <w:r w:rsidR="00E214F6">
        <w:rPr>
          <w:sz w:val="21"/>
          <w:szCs w:val="21"/>
        </w:rPr>
        <w:t>;</w:t>
      </w:r>
    </w:p>
    <w:p w14:paraId="1A1626DE" w14:textId="0BBF2BA2" w:rsidR="009F69D1" w:rsidRPr="00E214F6" w:rsidRDefault="009F69D1" w:rsidP="00D506C9">
      <w:pPr>
        <w:pStyle w:val="Paragrafoelenco"/>
        <w:numPr>
          <w:ilvl w:val="0"/>
          <w:numId w:val="26"/>
        </w:numPr>
        <w:spacing w:line="360" w:lineRule="auto"/>
        <w:ind w:left="851" w:right="780" w:firstLine="0"/>
        <w:jc w:val="both"/>
        <w:rPr>
          <w:b/>
          <w:sz w:val="21"/>
          <w:szCs w:val="21"/>
        </w:rPr>
      </w:pPr>
      <w:r w:rsidRPr="00E214F6">
        <w:rPr>
          <w:sz w:val="21"/>
          <w:szCs w:val="21"/>
        </w:rPr>
        <w:t xml:space="preserve">assistenza </w:t>
      </w:r>
      <w:r w:rsidR="00E214F6">
        <w:rPr>
          <w:sz w:val="21"/>
          <w:szCs w:val="21"/>
        </w:rPr>
        <w:t>s</w:t>
      </w:r>
      <w:r w:rsidRPr="00E214F6">
        <w:rPr>
          <w:sz w:val="21"/>
          <w:szCs w:val="21"/>
        </w:rPr>
        <w:t>anitaria: medica, infermieristica, riabilitativa al fine di garantire un percorso di cura personalizzato</w:t>
      </w:r>
    </w:p>
    <w:p w14:paraId="5EDDCA8B" w14:textId="77777777" w:rsidR="00564437" w:rsidRPr="002034D7" w:rsidRDefault="00564437" w:rsidP="002034D7">
      <w:pPr>
        <w:spacing w:line="360" w:lineRule="auto"/>
        <w:ind w:left="851" w:right="780"/>
        <w:jc w:val="both"/>
        <w:rPr>
          <w:b/>
          <w:i/>
          <w:sz w:val="21"/>
          <w:szCs w:val="21"/>
          <w:u w:val="single"/>
        </w:rPr>
      </w:pPr>
      <w:r w:rsidRPr="002034D7">
        <w:rPr>
          <w:i/>
          <w:sz w:val="21"/>
          <w:szCs w:val="21"/>
          <w:u w:val="single"/>
        </w:rPr>
        <w:t>Organi Sociali</w:t>
      </w:r>
    </w:p>
    <w:p w14:paraId="7DB023AA" w14:textId="4806BE99" w:rsidR="009F69D1" w:rsidRPr="002034D7" w:rsidRDefault="009F69D1" w:rsidP="002034D7">
      <w:pPr>
        <w:spacing w:line="360" w:lineRule="auto"/>
        <w:ind w:left="851" w:right="780"/>
        <w:jc w:val="both"/>
        <w:rPr>
          <w:b/>
          <w:sz w:val="21"/>
          <w:szCs w:val="21"/>
        </w:rPr>
      </w:pPr>
      <w:r w:rsidRPr="002034D7">
        <w:rPr>
          <w:sz w:val="21"/>
          <w:szCs w:val="21"/>
        </w:rPr>
        <w:t>Gli Organi sociali al 31 dicembre 20</w:t>
      </w:r>
      <w:r w:rsidR="00E214F6">
        <w:rPr>
          <w:sz w:val="21"/>
          <w:szCs w:val="21"/>
        </w:rPr>
        <w:t>2</w:t>
      </w:r>
      <w:r w:rsidR="003A2657">
        <w:rPr>
          <w:sz w:val="21"/>
          <w:szCs w:val="21"/>
        </w:rPr>
        <w:t>4</w:t>
      </w:r>
      <w:r w:rsidRPr="002034D7">
        <w:rPr>
          <w:sz w:val="21"/>
          <w:szCs w:val="21"/>
        </w:rPr>
        <w:t xml:space="preserve"> risultano così composti:</w:t>
      </w:r>
    </w:p>
    <w:p w14:paraId="02419631" w14:textId="705B9EDA" w:rsidR="009F69D1" w:rsidRPr="002034D7" w:rsidRDefault="00564437" w:rsidP="002034D7">
      <w:pPr>
        <w:spacing w:line="360" w:lineRule="auto"/>
        <w:ind w:left="851" w:right="780"/>
        <w:jc w:val="both"/>
        <w:rPr>
          <w:b/>
          <w:sz w:val="21"/>
          <w:szCs w:val="21"/>
        </w:rPr>
      </w:pPr>
      <w:r w:rsidRPr="002034D7">
        <w:rPr>
          <w:sz w:val="21"/>
          <w:szCs w:val="21"/>
        </w:rPr>
        <w:t>ASP: Commissario Straordinario Arch. Marco Sinesi</w:t>
      </w:r>
    </w:p>
    <w:p w14:paraId="077D4C1E" w14:textId="4D2D10DE" w:rsidR="00564437" w:rsidRPr="002034D7" w:rsidRDefault="00564437" w:rsidP="002034D7">
      <w:pPr>
        <w:spacing w:line="360" w:lineRule="auto"/>
        <w:ind w:left="851" w:right="780"/>
        <w:jc w:val="both"/>
        <w:rPr>
          <w:b/>
          <w:sz w:val="21"/>
          <w:szCs w:val="21"/>
        </w:rPr>
      </w:pPr>
      <w:r w:rsidRPr="002034D7">
        <w:rPr>
          <w:sz w:val="21"/>
          <w:szCs w:val="21"/>
        </w:rPr>
        <w:t xml:space="preserve">EBS: Amministratore Unico </w:t>
      </w:r>
      <w:r w:rsidR="002034D7">
        <w:rPr>
          <w:sz w:val="21"/>
          <w:szCs w:val="21"/>
        </w:rPr>
        <w:t>Marco Sinesi</w:t>
      </w:r>
    </w:p>
    <w:p w14:paraId="6CDDC17C" w14:textId="77777777" w:rsidR="009F69D1" w:rsidRPr="002034D7" w:rsidRDefault="009F69D1" w:rsidP="002034D7">
      <w:pPr>
        <w:spacing w:line="360" w:lineRule="auto"/>
        <w:ind w:left="851" w:right="780"/>
        <w:jc w:val="both"/>
        <w:rPr>
          <w:b/>
          <w:sz w:val="21"/>
          <w:szCs w:val="21"/>
        </w:rPr>
      </w:pPr>
      <w:r w:rsidRPr="002034D7">
        <w:rPr>
          <w:sz w:val="21"/>
          <w:szCs w:val="21"/>
        </w:rPr>
        <w:t>Le modalità di nomina, il numero, le cause di ineleggibilità, inconferibilità, incompatibilità, le attribuzioni, i compensi e le norme di funzionamento degli organi societari sono disciplinate in conformità alle disposizioni di legge nazionali e regionali.</w:t>
      </w:r>
    </w:p>
    <w:p w14:paraId="1254A0CB" w14:textId="77777777" w:rsidR="009F69D1" w:rsidRPr="003A2657" w:rsidRDefault="009F69D1" w:rsidP="002034D7">
      <w:pPr>
        <w:spacing w:line="360" w:lineRule="auto"/>
        <w:ind w:left="851" w:right="780"/>
        <w:rPr>
          <w:b/>
          <w:sz w:val="21"/>
          <w:szCs w:val="21"/>
        </w:rPr>
      </w:pPr>
      <w:r w:rsidRPr="003A2657">
        <w:rPr>
          <w:sz w:val="21"/>
          <w:szCs w:val="21"/>
          <w:u w:val="single"/>
        </w:rPr>
        <w:t xml:space="preserve">La Struttura Organizzativa </w:t>
      </w:r>
      <w:r w:rsidR="00FF4D80" w:rsidRPr="003A2657">
        <w:rPr>
          <w:sz w:val="21"/>
          <w:szCs w:val="21"/>
          <w:u w:val="single"/>
        </w:rPr>
        <w:t>di EBS</w:t>
      </w:r>
      <w:r w:rsidR="00FF4D80" w:rsidRPr="003A2657">
        <w:rPr>
          <w:sz w:val="21"/>
          <w:szCs w:val="21"/>
        </w:rPr>
        <w:t xml:space="preserve"> è la seguente:</w:t>
      </w:r>
    </w:p>
    <w:p w14:paraId="53A95134" w14:textId="77777777" w:rsidR="00FF4D80" w:rsidRDefault="00FF4D80" w:rsidP="002034D7">
      <w:pPr>
        <w:spacing w:line="360" w:lineRule="auto"/>
        <w:ind w:left="851" w:right="780"/>
        <w:rPr>
          <w:b/>
          <w:bCs/>
          <w:sz w:val="21"/>
          <w:szCs w:val="21"/>
        </w:rPr>
      </w:pPr>
      <w:r>
        <w:rPr>
          <w:b/>
          <w:bCs/>
          <w:sz w:val="21"/>
          <w:szCs w:val="21"/>
        </w:rPr>
        <w:t>Amministratore Unico</w:t>
      </w:r>
    </w:p>
    <w:p w14:paraId="219D2058" w14:textId="00D5F2A3" w:rsidR="00FF4D80" w:rsidRPr="00FF4D80" w:rsidRDefault="002034D7" w:rsidP="002034D7">
      <w:pPr>
        <w:spacing w:line="360" w:lineRule="auto"/>
        <w:ind w:left="851" w:right="780"/>
        <w:rPr>
          <w:bCs/>
          <w:sz w:val="21"/>
          <w:szCs w:val="21"/>
        </w:rPr>
      </w:pPr>
      <w:r>
        <w:rPr>
          <w:bCs/>
          <w:sz w:val="21"/>
          <w:szCs w:val="21"/>
        </w:rPr>
        <w:t>Marco Sinesi</w:t>
      </w:r>
    </w:p>
    <w:p w14:paraId="2696DDD4" w14:textId="77777777" w:rsidR="00E214F6" w:rsidRPr="00E214F6" w:rsidRDefault="00E214F6" w:rsidP="00E214F6">
      <w:pPr>
        <w:spacing w:line="360" w:lineRule="auto"/>
        <w:ind w:left="851" w:right="780"/>
        <w:rPr>
          <w:b/>
          <w:bCs/>
          <w:sz w:val="21"/>
          <w:szCs w:val="21"/>
        </w:rPr>
      </w:pPr>
      <w:r w:rsidRPr="00E214F6">
        <w:rPr>
          <w:b/>
          <w:bCs/>
          <w:sz w:val="21"/>
          <w:szCs w:val="21"/>
        </w:rPr>
        <w:t>Ufficio Acquisti</w:t>
      </w:r>
    </w:p>
    <w:p w14:paraId="04C8DC52" w14:textId="77777777" w:rsidR="00E214F6" w:rsidRPr="00E214F6" w:rsidRDefault="00E214F6" w:rsidP="00E214F6">
      <w:pPr>
        <w:spacing w:line="360" w:lineRule="auto"/>
        <w:ind w:left="851" w:right="780"/>
        <w:rPr>
          <w:sz w:val="21"/>
          <w:szCs w:val="21"/>
        </w:rPr>
      </w:pPr>
      <w:r w:rsidRPr="00E214F6">
        <w:rPr>
          <w:sz w:val="21"/>
          <w:szCs w:val="21"/>
        </w:rPr>
        <w:t>Monica Bisio</w:t>
      </w:r>
    </w:p>
    <w:p w14:paraId="44D59BA7" w14:textId="77777777" w:rsidR="00E214F6" w:rsidRPr="00E214F6" w:rsidRDefault="00E214F6" w:rsidP="00E214F6">
      <w:pPr>
        <w:spacing w:line="360" w:lineRule="auto"/>
        <w:ind w:left="851" w:right="780"/>
        <w:rPr>
          <w:b/>
          <w:bCs/>
          <w:sz w:val="21"/>
          <w:szCs w:val="21"/>
        </w:rPr>
      </w:pPr>
      <w:r w:rsidRPr="00E214F6">
        <w:rPr>
          <w:b/>
          <w:bCs/>
          <w:sz w:val="21"/>
          <w:szCs w:val="21"/>
        </w:rPr>
        <w:t>Ufficio fatture e rette</w:t>
      </w:r>
    </w:p>
    <w:p w14:paraId="51C126AA" w14:textId="77777777" w:rsidR="00E214F6" w:rsidRPr="00E214F6" w:rsidRDefault="00E214F6" w:rsidP="00E214F6">
      <w:pPr>
        <w:spacing w:line="360" w:lineRule="auto"/>
        <w:ind w:left="851" w:right="780"/>
        <w:rPr>
          <w:sz w:val="21"/>
          <w:szCs w:val="21"/>
        </w:rPr>
      </w:pPr>
      <w:r w:rsidRPr="00E214F6">
        <w:rPr>
          <w:sz w:val="21"/>
          <w:szCs w:val="21"/>
        </w:rPr>
        <w:t>Monica Bisio</w:t>
      </w:r>
    </w:p>
    <w:p w14:paraId="1709C14A" w14:textId="77777777" w:rsidR="00E214F6" w:rsidRPr="00E214F6" w:rsidRDefault="00E214F6" w:rsidP="00E214F6">
      <w:pPr>
        <w:spacing w:line="360" w:lineRule="auto"/>
        <w:ind w:left="851" w:right="780"/>
        <w:rPr>
          <w:b/>
          <w:bCs/>
          <w:sz w:val="21"/>
          <w:szCs w:val="21"/>
        </w:rPr>
      </w:pPr>
      <w:r w:rsidRPr="00E214F6">
        <w:rPr>
          <w:b/>
          <w:bCs/>
          <w:sz w:val="21"/>
          <w:szCs w:val="21"/>
        </w:rPr>
        <w:t>Ufficio patrimonio</w:t>
      </w:r>
    </w:p>
    <w:p w14:paraId="6C490028" w14:textId="77777777" w:rsidR="00E214F6" w:rsidRPr="00E214F6" w:rsidRDefault="00E214F6" w:rsidP="00E214F6">
      <w:pPr>
        <w:spacing w:line="360" w:lineRule="auto"/>
        <w:ind w:left="851" w:right="780"/>
        <w:rPr>
          <w:sz w:val="21"/>
          <w:szCs w:val="21"/>
        </w:rPr>
      </w:pPr>
      <w:r w:rsidRPr="00E214F6">
        <w:rPr>
          <w:sz w:val="21"/>
          <w:szCs w:val="21"/>
        </w:rPr>
        <w:lastRenderedPageBreak/>
        <w:t>Paola Lo Bue</w:t>
      </w:r>
    </w:p>
    <w:p w14:paraId="2CDC3363" w14:textId="77777777" w:rsidR="00E214F6" w:rsidRPr="00E214F6" w:rsidRDefault="00E214F6" w:rsidP="00E214F6">
      <w:pPr>
        <w:spacing w:line="360" w:lineRule="auto"/>
        <w:ind w:left="851" w:right="780"/>
        <w:rPr>
          <w:b/>
          <w:bCs/>
          <w:sz w:val="21"/>
          <w:szCs w:val="21"/>
        </w:rPr>
      </w:pPr>
      <w:r w:rsidRPr="00E214F6">
        <w:rPr>
          <w:b/>
          <w:bCs/>
          <w:sz w:val="21"/>
          <w:szCs w:val="21"/>
        </w:rPr>
        <w:t>Ufficio manutenzioni</w:t>
      </w:r>
    </w:p>
    <w:p w14:paraId="16AC15D7" w14:textId="77777777" w:rsidR="00E214F6" w:rsidRPr="00E214F6" w:rsidRDefault="00E214F6" w:rsidP="00E214F6">
      <w:pPr>
        <w:spacing w:line="360" w:lineRule="auto"/>
        <w:ind w:left="851" w:right="780"/>
        <w:rPr>
          <w:sz w:val="21"/>
          <w:szCs w:val="21"/>
        </w:rPr>
      </w:pPr>
      <w:r w:rsidRPr="00E214F6">
        <w:rPr>
          <w:sz w:val="21"/>
          <w:szCs w:val="21"/>
        </w:rPr>
        <w:t>Marco Malfatti</w:t>
      </w:r>
    </w:p>
    <w:p w14:paraId="23EE8B64" w14:textId="04C04376" w:rsidR="00FF4D80" w:rsidRDefault="00FF4D80" w:rsidP="002034D7">
      <w:pPr>
        <w:spacing w:line="360" w:lineRule="auto"/>
        <w:ind w:left="851" w:right="780"/>
        <w:rPr>
          <w:b/>
          <w:bCs/>
          <w:sz w:val="21"/>
          <w:szCs w:val="21"/>
        </w:rPr>
      </w:pPr>
      <w:r w:rsidRPr="00FF4D80">
        <w:rPr>
          <w:b/>
          <w:bCs/>
          <w:sz w:val="21"/>
          <w:szCs w:val="21"/>
        </w:rPr>
        <w:t>Ufficio Amministrativo</w:t>
      </w:r>
      <w:r>
        <w:rPr>
          <w:b/>
          <w:bCs/>
          <w:sz w:val="21"/>
          <w:szCs w:val="21"/>
        </w:rPr>
        <w:t xml:space="preserve"> RSA</w:t>
      </w:r>
    </w:p>
    <w:p w14:paraId="11663061" w14:textId="77777777" w:rsidR="00FF4D80" w:rsidRPr="00FF4D80" w:rsidRDefault="00FF4D80" w:rsidP="002034D7">
      <w:pPr>
        <w:spacing w:line="360" w:lineRule="auto"/>
        <w:ind w:left="851" w:right="780"/>
        <w:rPr>
          <w:bCs/>
          <w:sz w:val="21"/>
          <w:szCs w:val="21"/>
        </w:rPr>
      </w:pPr>
      <w:r w:rsidRPr="00FF4D80">
        <w:rPr>
          <w:bCs/>
          <w:sz w:val="21"/>
          <w:szCs w:val="21"/>
        </w:rPr>
        <w:t>Dott. Luca Romeo</w:t>
      </w:r>
    </w:p>
    <w:p w14:paraId="185AC3CB" w14:textId="77777777" w:rsidR="00FF4D80" w:rsidRDefault="00FF4D80" w:rsidP="002034D7">
      <w:pPr>
        <w:spacing w:line="360" w:lineRule="auto"/>
        <w:ind w:left="851" w:right="780"/>
        <w:rPr>
          <w:b/>
          <w:bCs/>
          <w:sz w:val="21"/>
          <w:szCs w:val="21"/>
        </w:rPr>
      </w:pPr>
      <w:r>
        <w:rPr>
          <w:b/>
          <w:bCs/>
          <w:sz w:val="21"/>
          <w:szCs w:val="21"/>
        </w:rPr>
        <w:t>Direzione Personale e Affari Alberghieri</w:t>
      </w:r>
    </w:p>
    <w:p w14:paraId="6D161251" w14:textId="7AFB6467" w:rsidR="00FF4D80" w:rsidRPr="00FF4D80" w:rsidRDefault="00FF4D80" w:rsidP="002034D7">
      <w:pPr>
        <w:spacing w:line="360" w:lineRule="auto"/>
        <w:ind w:left="851" w:right="780"/>
        <w:rPr>
          <w:bCs/>
          <w:sz w:val="21"/>
          <w:szCs w:val="21"/>
        </w:rPr>
      </w:pPr>
      <w:r>
        <w:rPr>
          <w:bCs/>
          <w:sz w:val="21"/>
          <w:szCs w:val="21"/>
        </w:rPr>
        <w:t xml:space="preserve">Franco Ragaglia </w:t>
      </w:r>
    </w:p>
    <w:p w14:paraId="63CB8E30" w14:textId="282DAABA" w:rsidR="00FF4D80" w:rsidRPr="00FF4D80" w:rsidRDefault="00FF4D80" w:rsidP="002034D7">
      <w:pPr>
        <w:spacing w:line="360" w:lineRule="auto"/>
        <w:ind w:left="851" w:right="780"/>
        <w:rPr>
          <w:b/>
          <w:bCs/>
          <w:sz w:val="21"/>
          <w:szCs w:val="21"/>
        </w:rPr>
      </w:pPr>
      <w:r>
        <w:rPr>
          <w:b/>
          <w:bCs/>
          <w:sz w:val="21"/>
          <w:szCs w:val="21"/>
        </w:rPr>
        <w:t>Direttrice RSA Doria</w:t>
      </w:r>
    </w:p>
    <w:p w14:paraId="131AB18A" w14:textId="77777777" w:rsidR="00FF4D80" w:rsidRPr="00FF4D80" w:rsidRDefault="00FF4D80" w:rsidP="002034D7">
      <w:pPr>
        <w:spacing w:line="360" w:lineRule="auto"/>
        <w:ind w:left="851" w:right="780"/>
        <w:rPr>
          <w:rFonts w:ascii="Arial" w:eastAsia="Times New Roman" w:hAnsi="Arial" w:cs="Arial"/>
          <w:bCs/>
          <w:color w:val="393939"/>
          <w:sz w:val="24"/>
          <w:szCs w:val="24"/>
          <w:lang w:bidi="ar-SA"/>
        </w:rPr>
      </w:pPr>
      <w:r w:rsidRPr="00FF4D80">
        <w:rPr>
          <w:bCs/>
          <w:sz w:val="21"/>
          <w:szCs w:val="21"/>
        </w:rPr>
        <w:t>Barbara Sgrò</w:t>
      </w:r>
    </w:p>
    <w:p w14:paraId="0219B668" w14:textId="21DC24E1" w:rsidR="00FF4D80" w:rsidRPr="00690190" w:rsidRDefault="00FF4D80" w:rsidP="002034D7">
      <w:pPr>
        <w:spacing w:line="360" w:lineRule="auto"/>
        <w:ind w:left="851" w:right="780"/>
        <w:jc w:val="both"/>
        <w:rPr>
          <w:sz w:val="21"/>
          <w:szCs w:val="21"/>
        </w:rPr>
      </w:pPr>
      <w:r w:rsidRPr="00690190">
        <w:rPr>
          <w:sz w:val="21"/>
          <w:szCs w:val="21"/>
        </w:rPr>
        <w:t xml:space="preserve">Come sopra ricordato in ASP è presente unicamente il Commissario Straordinario </w:t>
      </w:r>
      <w:r w:rsidR="00196E05" w:rsidRPr="00690190">
        <w:rPr>
          <w:sz w:val="21"/>
          <w:szCs w:val="21"/>
        </w:rPr>
        <w:t xml:space="preserve">Arch. Marco Sinesi e la stessa </w:t>
      </w:r>
      <w:r w:rsidRPr="00690190">
        <w:rPr>
          <w:sz w:val="21"/>
          <w:szCs w:val="21"/>
        </w:rPr>
        <w:t>attualmente non dispone di proprio personale</w:t>
      </w:r>
      <w:r w:rsidR="00196E05" w:rsidRPr="00690190">
        <w:rPr>
          <w:sz w:val="21"/>
          <w:szCs w:val="21"/>
        </w:rPr>
        <w:t>.</w:t>
      </w:r>
    </w:p>
    <w:p w14:paraId="157FA13C" w14:textId="54419D23" w:rsidR="00E214F6" w:rsidRPr="00690190" w:rsidRDefault="00E214F6" w:rsidP="00E214F6">
      <w:pPr>
        <w:spacing w:line="360" w:lineRule="auto"/>
        <w:ind w:left="851" w:right="780"/>
        <w:jc w:val="both"/>
        <w:rPr>
          <w:sz w:val="21"/>
          <w:szCs w:val="21"/>
        </w:rPr>
      </w:pPr>
      <w:r w:rsidRPr="00690190">
        <w:rPr>
          <w:sz w:val="21"/>
          <w:szCs w:val="21"/>
        </w:rPr>
        <w:t>In conclusione si deve dare atto della circostanza che i poteri decisionali siano accentrati nella figura del</w:t>
      </w:r>
      <w:r w:rsidR="00C7135B" w:rsidRPr="00690190">
        <w:rPr>
          <w:sz w:val="21"/>
          <w:szCs w:val="21"/>
        </w:rPr>
        <w:t xml:space="preserve"> Commissario Straordinario e dell</w:t>
      </w:r>
      <w:r w:rsidRPr="00690190">
        <w:rPr>
          <w:sz w:val="21"/>
          <w:szCs w:val="21"/>
        </w:rPr>
        <w:t>’amministratore unico. Pur tuttavia da detta circostanza</w:t>
      </w:r>
      <w:r w:rsidR="00C7135B" w:rsidRPr="00690190">
        <w:rPr>
          <w:sz w:val="21"/>
          <w:szCs w:val="21"/>
        </w:rPr>
        <w:t xml:space="preserve">, in virtù del </w:t>
      </w:r>
      <w:r w:rsidRPr="00690190">
        <w:rPr>
          <w:sz w:val="21"/>
          <w:szCs w:val="21"/>
        </w:rPr>
        <w:t>coinvolgimento di più dipendenti nella predisposizione della documentazione a monte de</w:t>
      </w:r>
      <w:r w:rsidR="00C7135B" w:rsidRPr="00690190">
        <w:rPr>
          <w:sz w:val="21"/>
          <w:szCs w:val="21"/>
        </w:rPr>
        <w:t>i</w:t>
      </w:r>
      <w:r w:rsidRPr="00690190">
        <w:rPr>
          <w:sz w:val="21"/>
          <w:szCs w:val="21"/>
        </w:rPr>
        <w:t xml:space="preserve"> process</w:t>
      </w:r>
      <w:r w:rsidR="00C7135B" w:rsidRPr="00690190">
        <w:rPr>
          <w:sz w:val="21"/>
          <w:szCs w:val="21"/>
        </w:rPr>
        <w:t>i</w:t>
      </w:r>
      <w:r w:rsidRPr="00690190">
        <w:rPr>
          <w:sz w:val="21"/>
          <w:szCs w:val="21"/>
        </w:rPr>
        <w:t xml:space="preserve"> decisional</w:t>
      </w:r>
      <w:r w:rsidR="00C7135B" w:rsidRPr="00690190">
        <w:rPr>
          <w:sz w:val="21"/>
          <w:szCs w:val="21"/>
        </w:rPr>
        <w:t>i,</w:t>
      </w:r>
      <w:r w:rsidRPr="00690190">
        <w:rPr>
          <w:sz w:val="21"/>
          <w:szCs w:val="21"/>
        </w:rPr>
        <w:t xml:space="preserve"> della osservanza delle procedure formalizzate a gestione dei processi,</w:t>
      </w:r>
      <w:r w:rsidR="00C7135B" w:rsidRPr="00690190">
        <w:rPr>
          <w:sz w:val="21"/>
          <w:szCs w:val="21"/>
        </w:rPr>
        <w:t xml:space="preserve"> nonché delle documentate attività di controllo e monitoraggio adottate</w:t>
      </w:r>
      <w:r w:rsidR="001C4A66">
        <w:rPr>
          <w:sz w:val="21"/>
          <w:szCs w:val="21"/>
        </w:rPr>
        <w:t xml:space="preserve"> (aspetti ponderati nel documento di valutazione del rischio sub all.1)</w:t>
      </w:r>
      <w:r w:rsidR="00C7135B" w:rsidRPr="00690190">
        <w:rPr>
          <w:sz w:val="21"/>
          <w:szCs w:val="21"/>
        </w:rPr>
        <w:t xml:space="preserve">, </w:t>
      </w:r>
      <w:r w:rsidRPr="00690190">
        <w:rPr>
          <w:sz w:val="21"/>
          <w:szCs w:val="21"/>
        </w:rPr>
        <w:t xml:space="preserve">non derivano </w:t>
      </w:r>
      <w:r w:rsidR="001C4A66">
        <w:rPr>
          <w:sz w:val="21"/>
          <w:szCs w:val="21"/>
        </w:rPr>
        <w:t xml:space="preserve">maggiori </w:t>
      </w:r>
      <w:r w:rsidRPr="00690190">
        <w:rPr>
          <w:sz w:val="21"/>
          <w:szCs w:val="21"/>
        </w:rPr>
        <w:t>rischi di rilievo.</w:t>
      </w:r>
    </w:p>
    <w:p w14:paraId="2F775AE5" w14:textId="339EF332" w:rsidR="001F0066" w:rsidRPr="002034D7" w:rsidRDefault="008A46B8" w:rsidP="00D506C9">
      <w:pPr>
        <w:pStyle w:val="Titolo1"/>
        <w:numPr>
          <w:ilvl w:val="0"/>
          <w:numId w:val="12"/>
        </w:numPr>
        <w:tabs>
          <w:tab w:val="left" w:pos="1037"/>
        </w:tabs>
        <w:spacing w:before="200" w:line="360" w:lineRule="auto"/>
        <w:ind w:left="1276" w:right="939" w:hanging="425"/>
        <w:jc w:val="both"/>
        <w:rPr>
          <w:smallCaps/>
        </w:rPr>
      </w:pPr>
      <w:bookmarkStart w:id="53" w:name="_Hlk67311728"/>
      <w:bookmarkStart w:id="54" w:name="_Toc220506570"/>
      <w:r>
        <w:rPr>
          <w:smallCaps/>
        </w:rPr>
        <w:t>Mappatura dei Processi, M</w:t>
      </w:r>
      <w:r w:rsidR="000747FE" w:rsidRPr="002034D7">
        <w:rPr>
          <w:smallCaps/>
        </w:rPr>
        <w:t xml:space="preserve">isure di </w:t>
      </w:r>
      <w:r>
        <w:rPr>
          <w:smallCaps/>
        </w:rPr>
        <w:t>P</w:t>
      </w:r>
      <w:r w:rsidR="000747FE" w:rsidRPr="002034D7">
        <w:rPr>
          <w:smallCaps/>
        </w:rPr>
        <w:t>revenzione</w:t>
      </w:r>
      <w:r>
        <w:rPr>
          <w:smallCaps/>
        </w:rPr>
        <w:t xml:space="preserve"> e Gestione del Rischio</w:t>
      </w:r>
      <w:r w:rsidR="000D4CC3">
        <w:rPr>
          <w:smallCaps/>
        </w:rPr>
        <w:t xml:space="preserve"> (rinvio ad all.1)</w:t>
      </w:r>
      <w:bookmarkEnd w:id="54"/>
    </w:p>
    <w:bookmarkEnd w:id="53"/>
    <w:p w14:paraId="10E6D5FE" w14:textId="77777777" w:rsidR="001F0066" w:rsidRDefault="00EE2012" w:rsidP="002034D7">
      <w:pPr>
        <w:pStyle w:val="Corpotesto"/>
        <w:spacing w:before="200" w:line="360" w:lineRule="auto"/>
        <w:ind w:left="812" w:right="808"/>
        <w:jc w:val="both"/>
      </w:pPr>
      <w:r>
        <w:t xml:space="preserve">Anche al fine di meglio inquadrare lo scopo di EBS e le attività poste in essere dai propri dipendenti anche in favore di ASP, occorre precisare quanto segue: la Giunta Regionale ha deliberato la nomina di un Commissario Straordinario, </w:t>
      </w:r>
      <w:r w:rsidR="000747FE">
        <w:t>da ultimo</w:t>
      </w:r>
      <w:r>
        <w:t xml:space="preserve"> individuato </w:t>
      </w:r>
      <w:r w:rsidR="000747FE">
        <w:t>nell’arch. Senesi</w:t>
      </w:r>
      <w:r>
        <w:t>, affidando al Commissario il compito di provvedere alla gestione ordinaria e straordinaria dell’ente (con facoltà di avvalersi di collaborazioni professionali esterne in riferimento alla diverse esigenze gestionali), ed in particolare di provvedere:</w:t>
      </w:r>
    </w:p>
    <w:p w14:paraId="02AC30BE" w14:textId="77777777" w:rsidR="001F0066" w:rsidRDefault="00EE2012" w:rsidP="00D506C9">
      <w:pPr>
        <w:pStyle w:val="Paragrafoelenco"/>
        <w:numPr>
          <w:ilvl w:val="0"/>
          <w:numId w:val="8"/>
        </w:numPr>
        <w:tabs>
          <w:tab w:val="left" w:pos="1195"/>
        </w:tabs>
        <w:spacing w:before="198" w:line="360" w:lineRule="auto"/>
        <w:ind w:right="813" w:firstLine="0"/>
        <w:jc w:val="both"/>
        <w:rPr>
          <w:sz w:val="21"/>
        </w:rPr>
      </w:pPr>
      <w:r>
        <w:rPr>
          <w:sz w:val="21"/>
        </w:rPr>
        <w:t>allo svolgimento di tutti gli incombenti spettanti al Presidente e al Consiglio di Amministrazione come da Statuto</w:t>
      </w:r>
      <w:r>
        <w:rPr>
          <w:spacing w:val="-11"/>
          <w:sz w:val="21"/>
        </w:rPr>
        <w:t xml:space="preserve"> </w:t>
      </w:r>
      <w:r>
        <w:rPr>
          <w:sz w:val="21"/>
        </w:rPr>
        <w:t>vigente;</w:t>
      </w:r>
    </w:p>
    <w:p w14:paraId="22D696BB" w14:textId="77777777" w:rsidR="001F0066" w:rsidRDefault="00EE2012" w:rsidP="00D506C9">
      <w:pPr>
        <w:pStyle w:val="Paragrafoelenco"/>
        <w:numPr>
          <w:ilvl w:val="0"/>
          <w:numId w:val="8"/>
        </w:numPr>
        <w:tabs>
          <w:tab w:val="left" w:pos="1228"/>
        </w:tabs>
        <w:spacing w:before="195" w:line="360" w:lineRule="auto"/>
        <w:ind w:right="808" w:firstLine="0"/>
        <w:jc w:val="both"/>
        <w:rPr>
          <w:sz w:val="21"/>
        </w:rPr>
      </w:pPr>
      <w:r>
        <w:rPr>
          <w:sz w:val="21"/>
        </w:rPr>
        <w:t xml:space="preserve">all’attivazione delle procedure finalizzate alla esternalizzazione dell’attività della gestione caratteristica di operatore dei servizi residenziali da parte dell’ASP “Emanuele Brignole” mediante affidamento al mercato previa valutazione se l’ammontare dei canoni di affitto da parte dei gestori sia in grado di assicurare la progressiva estinzione del debito, unitamente all’alienazione del patrimonio non strumentale dell’Ente, già previsto dall’attuale piano di rientro; tale ipotesi riorganizzativa consente di modificare le modalità di gestione </w:t>
      </w:r>
      <w:r>
        <w:rPr>
          <w:sz w:val="21"/>
        </w:rPr>
        <w:lastRenderedPageBreak/>
        <w:t>senza snaturare la vocazione statutaria</w:t>
      </w:r>
      <w:r>
        <w:rPr>
          <w:spacing w:val="-11"/>
          <w:sz w:val="21"/>
        </w:rPr>
        <w:t xml:space="preserve"> </w:t>
      </w:r>
      <w:r>
        <w:rPr>
          <w:sz w:val="21"/>
        </w:rPr>
        <w:t>dell’Azienda;</w:t>
      </w:r>
    </w:p>
    <w:p w14:paraId="1D615622" w14:textId="77777777" w:rsidR="000747FE" w:rsidRDefault="00EE2012" w:rsidP="00D506C9">
      <w:pPr>
        <w:pStyle w:val="Paragrafoelenco"/>
        <w:numPr>
          <w:ilvl w:val="0"/>
          <w:numId w:val="8"/>
        </w:numPr>
        <w:tabs>
          <w:tab w:val="left" w:pos="1108"/>
        </w:tabs>
        <w:spacing w:before="200" w:line="360" w:lineRule="auto"/>
        <w:ind w:right="810" w:firstLine="0"/>
        <w:jc w:val="both"/>
        <w:rPr>
          <w:sz w:val="21"/>
        </w:rPr>
      </w:pPr>
      <w:r w:rsidRPr="000747FE">
        <w:rPr>
          <w:sz w:val="21"/>
        </w:rPr>
        <w:t>all’espletamento delle procedure previste dalla legge per l’affidamento al mercato della gestione delle singole strutture o di pacchetti di strutture mediante specifiche procedure a evidenza pubblica che prevedano la corresponsione all’ASP dei canoni di affitto da parte dei gestori, al fine di assicurare la progressiva estinzione del debito e all’adozione di tutti i provvedimenti</w:t>
      </w:r>
      <w:r w:rsidRPr="000747FE">
        <w:rPr>
          <w:spacing w:val="-2"/>
          <w:sz w:val="21"/>
        </w:rPr>
        <w:t xml:space="preserve"> </w:t>
      </w:r>
      <w:r w:rsidRPr="000747FE">
        <w:rPr>
          <w:sz w:val="21"/>
        </w:rPr>
        <w:t>conseguenti;</w:t>
      </w:r>
    </w:p>
    <w:p w14:paraId="3A322ACC" w14:textId="77777777" w:rsidR="001F0066" w:rsidRPr="000747FE" w:rsidRDefault="00EE2012" w:rsidP="00D506C9">
      <w:pPr>
        <w:pStyle w:val="Paragrafoelenco"/>
        <w:numPr>
          <w:ilvl w:val="0"/>
          <w:numId w:val="8"/>
        </w:numPr>
        <w:tabs>
          <w:tab w:val="left" w:pos="1108"/>
        </w:tabs>
        <w:spacing w:before="200" w:line="360" w:lineRule="auto"/>
        <w:ind w:right="810" w:firstLine="0"/>
        <w:jc w:val="both"/>
        <w:rPr>
          <w:sz w:val="21"/>
        </w:rPr>
      </w:pPr>
      <w:r w:rsidRPr="000747FE">
        <w:rPr>
          <w:sz w:val="21"/>
        </w:rPr>
        <w:t>all’alienazione del patrimonio non strumentale dell’ASP, già prevista dal piano di rientro, e alla sottoscrizione degli atti relativi, finalizzata alla progressiva estinzione del debito;</w:t>
      </w:r>
    </w:p>
    <w:p w14:paraId="31A0A2C9" w14:textId="77777777" w:rsidR="001F0066" w:rsidRDefault="00EE2012" w:rsidP="00D506C9">
      <w:pPr>
        <w:pStyle w:val="Paragrafoelenco"/>
        <w:numPr>
          <w:ilvl w:val="0"/>
          <w:numId w:val="8"/>
        </w:numPr>
        <w:tabs>
          <w:tab w:val="left" w:pos="1108"/>
        </w:tabs>
        <w:spacing w:before="200" w:line="360" w:lineRule="auto"/>
        <w:ind w:left="1107" w:hanging="295"/>
        <w:rPr>
          <w:sz w:val="21"/>
        </w:rPr>
      </w:pPr>
      <w:r>
        <w:rPr>
          <w:sz w:val="21"/>
        </w:rPr>
        <w:t>ad adottare gli atti necessari per la riduzione dell’esposizione debitoria</w:t>
      </w:r>
      <w:r>
        <w:rPr>
          <w:spacing w:val="-21"/>
          <w:sz w:val="21"/>
        </w:rPr>
        <w:t xml:space="preserve"> </w:t>
      </w:r>
      <w:r>
        <w:rPr>
          <w:sz w:val="21"/>
        </w:rPr>
        <w:t>dell’ASP.</w:t>
      </w:r>
    </w:p>
    <w:p w14:paraId="7A91C837" w14:textId="77777777" w:rsidR="000747FE" w:rsidRDefault="000747FE" w:rsidP="002034D7">
      <w:pPr>
        <w:pStyle w:val="Paragrafoelenco"/>
        <w:tabs>
          <w:tab w:val="left" w:pos="851"/>
        </w:tabs>
        <w:spacing w:before="200" w:line="360" w:lineRule="auto"/>
        <w:ind w:left="851" w:firstLine="0"/>
        <w:rPr>
          <w:sz w:val="21"/>
        </w:rPr>
      </w:pPr>
      <w:r>
        <w:rPr>
          <w:sz w:val="21"/>
        </w:rPr>
        <w:t>Per quanto sopra:</w:t>
      </w:r>
    </w:p>
    <w:p w14:paraId="45BAE5F5" w14:textId="5C03F819" w:rsidR="001F0066" w:rsidRDefault="00EE2012" w:rsidP="00C7135B">
      <w:pPr>
        <w:pStyle w:val="Corpotesto"/>
        <w:spacing w:before="200" w:line="360" w:lineRule="auto"/>
        <w:ind w:left="851" w:right="815"/>
        <w:jc w:val="both"/>
      </w:pPr>
      <w:r w:rsidRPr="000747FE">
        <w:rPr>
          <w:b/>
          <w:u w:val="single"/>
        </w:rPr>
        <w:t>EMANUELE BRIGNOLE SRL</w:t>
      </w:r>
      <w:r>
        <w:t xml:space="preserve"> ha individuato, sin dalla redazione del primo PT</w:t>
      </w:r>
      <w:r w:rsidR="00C7135B">
        <w:t>PCT</w:t>
      </w:r>
      <w:r>
        <w:t>, le seguenti aree di rischio che rispecchiano le proprie specificità funzionali e di contesto:</w:t>
      </w:r>
    </w:p>
    <w:p w14:paraId="2E14CB23" w14:textId="20D29D9D" w:rsidR="00FC5C7F" w:rsidRPr="00442078" w:rsidRDefault="00EE2012" w:rsidP="00D506C9">
      <w:pPr>
        <w:pStyle w:val="Paragrafoelenco"/>
        <w:numPr>
          <w:ilvl w:val="0"/>
          <w:numId w:val="13"/>
        </w:numPr>
        <w:spacing w:line="360" w:lineRule="auto"/>
        <w:ind w:right="780"/>
        <w:jc w:val="both"/>
        <w:rPr>
          <w:sz w:val="21"/>
          <w:szCs w:val="21"/>
        </w:rPr>
      </w:pPr>
      <w:r w:rsidRPr="00442078">
        <w:rPr>
          <w:sz w:val="21"/>
          <w:szCs w:val="21"/>
        </w:rPr>
        <w:t>selezione del personale, progressione di carriera e gestione di eventuali sistemi retributivi e</w:t>
      </w:r>
      <w:r w:rsidRPr="00442078">
        <w:rPr>
          <w:spacing w:val="-6"/>
          <w:sz w:val="21"/>
          <w:szCs w:val="21"/>
        </w:rPr>
        <w:t xml:space="preserve"> </w:t>
      </w:r>
      <w:r w:rsidRPr="00442078">
        <w:rPr>
          <w:sz w:val="21"/>
          <w:szCs w:val="21"/>
        </w:rPr>
        <w:t>premianti;</w:t>
      </w:r>
    </w:p>
    <w:p w14:paraId="6EC1BD1A" w14:textId="7644A50F" w:rsidR="00FC5C7F" w:rsidRPr="00442078" w:rsidRDefault="00EE2012" w:rsidP="00D506C9">
      <w:pPr>
        <w:pStyle w:val="Paragrafoelenco"/>
        <w:numPr>
          <w:ilvl w:val="0"/>
          <w:numId w:val="13"/>
        </w:numPr>
        <w:spacing w:line="360" w:lineRule="auto"/>
        <w:ind w:right="780"/>
        <w:jc w:val="both"/>
        <w:rPr>
          <w:sz w:val="21"/>
          <w:szCs w:val="21"/>
        </w:rPr>
      </w:pPr>
      <w:r w:rsidRPr="00442078">
        <w:rPr>
          <w:sz w:val="21"/>
          <w:szCs w:val="21"/>
        </w:rPr>
        <w:t>rapporti con la P.A. e con Organi Ispettivi e di</w:t>
      </w:r>
      <w:r w:rsidRPr="00442078">
        <w:rPr>
          <w:spacing w:val="-17"/>
          <w:sz w:val="21"/>
          <w:szCs w:val="21"/>
        </w:rPr>
        <w:t xml:space="preserve"> </w:t>
      </w:r>
      <w:r w:rsidRPr="00442078">
        <w:rPr>
          <w:sz w:val="21"/>
          <w:szCs w:val="21"/>
        </w:rPr>
        <w:t>Controllo;</w:t>
      </w:r>
    </w:p>
    <w:p w14:paraId="198081EA" w14:textId="72C81090" w:rsidR="001F0066" w:rsidRPr="00442078" w:rsidRDefault="00EE2012" w:rsidP="00D506C9">
      <w:pPr>
        <w:pStyle w:val="Paragrafoelenco"/>
        <w:numPr>
          <w:ilvl w:val="0"/>
          <w:numId w:val="13"/>
        </w:numPr>
        <w:spacing w:line="360" w:lineRule="auto"/>
        <w:ind w:right="780"/>
        <w:jc w:val="both"/>
        <w:rPr>
          <w:sz w:val="21"/>
          <w:szCs w:val="21"/>
        </w:rPr>
      </w:pPr>
      <w:r w:rsidRPr="00442078">
        <w:rPr>
          <w:sz w:val="21"/>
          <w:szCs w:val="21"/>
        </w:rPr>
        <w:t>flussi</w:t>
      </w:r>
      <w:r w:rsidRPr="00442078">
        <w:rPr>
          <w:spacing w:val="-2"/>
          <w:sz w:val="21"/>
          <w:szCs w:val="21"/>
        </w:rPr>
        <w:t xml:space="preserve"> </w:t>
      </w:r>
      <w:r w:rsidRPr="00442078">
        <w:rPr>
          <w:sz w:val="21"/>
          <w:szCs w:val="21"/>
        </w:rPr>
        <w:t>finanziari;</w:t>
      </w:r>
    </w:p>
    <w:p w14:paraId="72049E09" w14:textId="77777777" w:rsidR="001F0066" w:rsidRDefault="001F0066" w:rsidP="002034D7">
      <w:pPr>
        <w:pStyle w:val="Corpotesto"/>
        <w:spacing w:before="8" w:line="360" w:lineRule="auto"/>
        <w:ind w:left="2127"/>
        <w:rPr>
          <w:b/>
          <w:sz w:val="19"/>
        </w:rPr>
      </w:pPr>
    </w:p>
    <w:p w14:paraId="362FA9AB" w14:textId="77777777" w:rsidR="001F0066" w:rsidRDefault="00EE2012" w:rsidP="002034D7">
      <w:pPr>
        <w:pStyle w:val="Corpotesto"/>
        <w:spacing w:line="360" w:lineRule="auto"/>
        <w:ind w:left="1560" w:right="815" w:hanging="709"/>
        <w:jc w:val="both"/>
      </w:pPr>
      <w:r w:rsidRPr="000747FE">
        <w:rPr>
          <w:b/>
          <w:u w:val="single"/>
        </w:rPr>
        <w:t>ASP</w:t>
      </w:r>
      <w:r w:rsidR="000747FE">
        <w:t xml:space="preserve"> ha individuato quali aree di maggiore rischio quelle di seguito indicate (con coinvolgimento del personale EBS)</w:t>
      </w:r>
    </w:p>
    <w:p w14:paraId="5D8CDC43" w14:textId="77777777" w:rsidR="001F0066" w:rsidRPr="00C7135B" w:rsidRDefault="00EE2012" w:rsidP="00D506C9">
      <w:pPr>
        <w:pStyle w:val="Paragrafoelenco"/>
        <w:numPr>
          <w:ilvl w:val="1"/>
          <w:numId w:val="8"/>
        </w:numPr>
        <w:tabs>
          <w:tab w:val="left" w:pos="1533"/>
          <w:tab w:val="left" w:pos="1534"/>
          <w:tab w:val="left" w:pos="2666"/>
          <w:tab w:val="left" w:pos="3932"/>
          <w:tab w:val="left" w:pos="5767"/>
          <w:tab w:val="left" w:pos="6230"/>
          <w:tab w:val="left" w:pos="7159"/>
          <w:tab w:val="left" w:pos="8109"/>
          <w:tab w:val="left" w:pos="8507"/>
          <w:tab w:val="left" w:pos="9689"/>
        </w:tabs>
        <w:spacing w:before="201" w:line="360" w:lineRule="auto"/>
        <w:ind w:left="1560" w:right="811" w:hanging="284"/>
        <w:jc w:val="both"/>
        <w:rPr>
          <w:bCs/>
          <w:sz w:val="21"/>
        </w:rPr>
      </w:pPr>
      <w:r w:rsidRPr="00C7135B">
        <w:rPr>
          <w:bCs/>
          <w:sz w:val="21"/>
        </w:rPr>
        <w:t>processi</w:t>
      </w:r>
      <w:r w:rsidR="00FC5C7F" w:rsidRPr="00C7135B">
        <w:rPr>
          <w:bCs/>
          <w:sz w:val="21"/>
        </w:rPr>
        <w:t xml:space="preserve"> </w:t>
      </w:r>
      <w:r w:rsidRPr="00C7135B">
        <w:rPr>
          <w:bCs/>
          <w:sz w:val="21"/>
        </w:rPr>
        <w:t>finalizzati</w:t>
      </w:r>
      <w:r w:rsidR="00FC5C7F" w:rsidRPr="00C7135B">
        <w:rPr>
          <w:bCs/>
          <w:sz w:val="21"/>
        </w:rPr>
        <w:t xml:space="preserve"> all’affidamento di l</w:t>
      </w:r>
      <w:r w:rsidRPr="00C7135B">
        <w:rPr>
          <w:bCs/>
          <w:sz w:val="21"/>
        </w:rPr>
        <w:t>avori,</w:t>
      </w:r>
      <w:r w:rsidR="00FC5C7F" w:rsidRPr="00C7135B">
        <w:rPr>
          <w:bCs/>
          <w:sz w:val="21"/>
        </w:rPr>
        <w:t xml:space="preserve"> servizi e </w:t>
      </w:r>
      <w:r w:rsidRPr="00C7135B">
        <w:rPr>
          <w:bCs/>
          <w:sz w:val="21"/>
        </w:rPr>
        <w:t>forniture</w:t>
      </w:r>
      <w:r w:rsidR="00FC5C7F" w:rsidRPr="00C7135B">
        <w:rPr>
          <w:bCs/>
          <w:sz w:val="21"/>
        </w:rPr>
        <w:t xml:space="preserve"> </w:t>
      </w:r>
      <w:r w:rsidRPr="00C7135B">
        <w:rPr>
          <w:bCs/>
          <w:sz w:val="21"/>
        </w:rPr>
        <w:t>nonché all’affidamento di ogni altro tipo di</w:t>
      </w:r>
      <w:r w:rsidRPr="00C7135B">
        <w:rPr>
          <w:bCs/>
          <w:spacing w:val="-10"/>
          <w:sz w:val="21"/>
        </w:rPr>
        <w:t xml:space="preserve"> </w:t>
      </w:r>
      <w:r w:rsidRPr="00C7135B">
        <w:rPr>
          <w:bCs/>
          <w:sz w:val="21"/>
        </w:rPr>
        <w:t>commessa;</w:t>
      </w:r>
    </w:p>
    <w:p w14:paraId="6FAE55F5" w14:textId="77777777" w:rsidR="001F0066" w:rsidRPr="00C7135B" w:rsidRDefault="00EE2012" w:rsidP="00D506C9">
      <w:pPr>
        <w:pStyle w:val="Paragrafoelenco"/>
        <w:numPr>
          <w:ilvl w:val="1"/>
          <w:numId w:val="8"/>
        </w:numPr>
        <w:tabs>
          <w:tab w:val="left" w:pos="1533"/>
          <w:tab w:val="left" w:pos="1534"/>
        </w:tabs>
        <w:spacing w:before="1" w:line="360" w:lineRule="auto"/>
        <w:ind w:left="1560" w:right="810" w:hanging="284"/>
        <w:jc w:val="both"/>
        <w:rPr>
          <w:bCs/>
          <w:sz w:val="21"/>
        </w:rPr>
      </w:pPr>
      <w:r w:rsidRPr="00C7135B">
        <w:rPr>
          <w:bCs/>
          <w:sz w:val="21"/>
        </w:rPr>
        <w:t>processi finalizzati all’adozione di provv</w:t>
      </w:r>
      <w:r w:rsidR="000747FE" w:rsidRPr="00C7135B">
        <w:rPr>
          <w:bCs/>
          <w:sz w:val="21"/>
        </w:rPr>
        <w:t xml:space="preserve">edimenti ampliativi della sfera </w:t>
      </w:r>
      <w:r w:rsidRPr="00C7135B">
        <w:rPr>
          <w:bCs/>
          <w:sz w:val="21"/>
        </w:rPr>
        <w:t>giuridica dei destinatari con o privi di effetto economico diretto ed immediato per il</w:t>
      </w:r>
      <w:r w:rsidRPr="00C7135B">
        <w:rPr>
          <w:bCs/>
          <w:spacing w:val="-40"/>
          <w:sz w:val="21"/>
        </w:rPr>
        <w:t xml:space="preserve"> </w:t>
      </w:r>
      <w:r w:rsidRPr="00C7135B">
        <w:rPr>
          <w:bCs/>
          <w:sz w:val="21"/>
        </w:rPr>
        <w:t>destinatario</w:t>
      </w:r>
      <w:r w:rsidR="00FA721D" w:rsidRPr="00C7135B">
        <w:rPr>
          <w:bCs/>
          <w:sz w:val="21"/>
        </w:rPr>
        <w:t>.</w:t>
      </w:r>
    </w:p>
    <w:p w14:paraId="292FE632" w14:textId="05FB906C" w:rsidR="00982389" w:rsidRDefault="00C7135B" w:rsidP="002034D7">
      <w:pPr>
        <w:tabs>
          <w:tab w:val="left" w:pos="851"/>
        </w:tabs>
        <w:spacing w:before="1" w:line="360" w:lineRule="auto"/>
        <w:ind w:left="851" w:right="810"/>
        <w:jc w:val="both"/>
        <w:rPr>
          <w:sz w:val="21"/>
        </w:rPr>
      </w:pPr>
      <w:proofErr w:type="gramStart"/>
      <w:r>
        <w:rPr>
          <w:sz w:val="21"/>
        </w:rPr>
        <w:t>E’</w:t>
      </w:r>
      <w:proofErr w:type="gramEnd"/>
      <w:r w:rsidR="00982389">
        <w:rPr>
          <w:sz w:val="21"/>
        </w:rPr>
        <w:t xml:space="preserve"> stato </w:t>
      </w:r>
      <w:r>
        <w:rPr>
          <w:sz w:val="21"/>
        </w:rPr>
        <w:t xml:space="preserve">mantenuto il livello di </w:t>
      </w:r>
      <w:r w:rsidRPr="00C7135B">
        <w:rPr>
          <w:sz w:val="21"/>
        </w:rPr>
        <w:t>rischio</w:t>
      </w:r>
      <w:r w:rsidR="00982389" w:rsidRPr="00C7135B">
        <w:rPr>
          <w:sz w:val="21"/>
        </w:rPr>
        <w:t xml:space="preserve"> corruttivo delle attività volte alla dismissione del patrimonio immobiliare</w:t>
      </w:r>
      <w:r w:rsidR="004E0D72" w:rsidRPr="00C7135B">
        <w:rPr>
          <w:sz w:val="21"/>
        </w:rPr>
        <w:t xml:space="preserve"> di ASP</w:t>
      </w:r>
      <w:r w:rsidR="004E0D72">
        <w:rPr>
          <w:sz w:val="21"/>
        </w:rPr>
        <w:t xml:space="preserve"> BRIGNOLE, in considerazione della circostanza comunicata </w:t>
      </w:r>
      <w:proofErr w:type="gramStart"/>
      <w:r w:rsidR="004E0D72">
        <w:rPr>
          <w:sz w:val="21"/>
        </w:rPr>
        <w:t>ad</w:t>
      </w:r>
      <w:proofErr w:type="gramEnd"/>
      <w:r w:rsidR="004E0D72">
        <w:rPr>
          <w:sz w:val="21"/>
        </w:rPr>
        <w:t xml:space="preserve"> RPCT dall’Organo Gestorio del venire meno, quanto meno in termini di strategia aziendale, di detta attività, che potrà presentarsi in maniera occasionale e per beni di valore economico non rilevante.</w:t>
      </w:r>
    </w:p>
    <w:p w14:paraId="2D9EE7E1" w14:textId="77777777" w:rsidR="004E0D72" w:rsidRDefault="004E0D72" w:rsidP="002034D7">
      <w:pPr>
        <w:tabs>
          <w:tab w:val="left" w:pos="851"/>
        </w:tabs>
        <w:spacing w:before="1" w:line="360" w:lineRule="auto"/>
        <w:ind w:left="851" w:right="810"/>
        <w:jc w:val="both"/>
        <w:rPr>
          <w:sz w:val="21"/>
        </w:rPr>
      </w:pPr>
    </w:p>
    <w:p w14:paraId="0318E323" w14:textId="77777777" w:rsidR="008A46B8" w:rsidRPr="008A46B8" w:rsidRDefault="008A46B8" w:rsidP="008A46B8">
      <w:pPr>
        <w:widowControl/>
        <w:autoSpaceDE/>
        <w:autoSpaceDN/>
        <w:spacing w:line="360" w:lineRule="auto"/>
        <w:ind w:left="851" w:right="780"/>
        <w:jc w:val="both"/>
        <w:rPr>
          <w:sz w:val="21"/>
        </w:rPr>
      </w:pPr>
      <w:r w:rsidRPr="008A46B8">
        <w:rPr>
          <w:sz w:val="21"/>
        </w:rPr>
        <w:t xml:space="preserve">Come noto la </w:t>
      </w:r>
      <w:r w:rsidRPr="000D4CC3">
        <w:rPr>
          <w:b/>
          <w:bCs/>
          <w:sz w:val="21"/>
          <w:u w:val="single"/>
        </w:rPr>
        <w:t>mappatura dei processi</w:t>
      </w:r>
      <w:r w:rsidRPr="008A46B8">
        <w:rPr>
          <w:sz w:val="21"/>
        </w:rPr>
        <w:t xml:space="preserve"> è un requisito indispensabile per la formulazione di adeguate misure di prevenzione e incide sulla qualità complessiva della gestione del rischio. Infatti, una compiuta analisi dei processi consente di identificare i punti più vulnerabili e, </w:t>
      </w:r>
      <w:r w:rsidRPr="008A46B8">
        <w:rPr>
          <w:sz w:val="21"/>
        </w:rPr>
        <w:lastRenderedPageBreak/>
        <w:t>dunque, i rischi di corruzione che si generano attraverso le attività svolte dall’amministrazione.</w:t>
      </w:r>
    </w:p>
    <w:p w14:paraId="41E4799E" w14:textId="73E4A67E" w:rsidR="00821AB0" w:rsidRDefault="008A46B8" w:rsidP="000D4CC3">
      <w:pPr>
        <w:widowControl/>
        <w:autoSpaceDE/>
        <w:autoSpaceDN/>
        <w:spacing w:line="360" w:lineRule="auto"/>
        <w:ind w:left="851" w:right="780"/>
        <w:jc w:val="both"/>
        <w:rPr>
          <w:sz w:val="21"/>
        </w:rPr>
      </w:pPr>
      <w:r w:rsidRPr="008A46B8">
        <w:rPr>
          <w:sz w:val="21"/>
        </w:rPr>
        <w:t xml:space="preserve">RPCT ha ritenuto di potere adottare il livello minimo di analisi per l’identificazione dei rischi, individuato nella rappresentazione del processo, con disamina per ognuno di essi degli elementi di rischio che possono manifestarsi. Quanto sopra risulta giustificato alla luce della circostanza che </w:t>
      </w:r>
      <w:r>
        <w:rPr>
          <w:sz w:val="21"/>
        </w:rPr>
        <w:t>siamo in presenza di</w:t>
      </w:r>
      <w:r w:rsidRPr="008A46B8">
        <w:rPr>
          <w:sz w:val="21"/>
        </w:rPr>
        <w:t xml:space="preserve"> realtà di dimensione organizzativa ridotta, con un organico e personale che non permette –allo stato- un differente approfondimento. D’altronde, alla luce dell’esperienza storica e valutazioni già svolte nei precedenti PTPCT, il rischio corruttivo è stato ritenuto basso e non si sono manifestati, nel frattempo, fatti o situazioni indicative di qualche forma di criticità (eventi sentinella, segnalazioni, ecc.).</w:t>
      </w:r>
    </w:p>
    <w:p w14:paraId="46AA309F" w14:textId="43585C9C" w:rsidR="00BB40F3" w:rsidRPr="00E75524" w:rsidRDefault="00BA0BC6" w:rsidP="00BB40F3">
      <w:pPr>
        <w:widowControl/>
        <w:autoSpaceDE/>
        <w:autoSpaceDN/>
        <w:spacing w:line="360" w:lineRule="auto"/>
        <w:ind w:left="851" w:right="441"/>
        <w:jc w:val="both"/>
        <w:rPr>
          <w:rFonts w:eastAsia="Times New Roman" w:cs="Times New Roman"/>
          <w:sz w:val="21"/>
          <w:szCs w:val="21"/>
          <w:lang w:eastAsia="en-US"/>
        </w:rPr>
      </w:pPr>
      <w:bookmarkStart w:id="55" w:name="_Hlk67346122"/>
      <w:r w:rsidRPr="00E75524">
        <w:rPr>
          <w:rFonts w:eastAsia="Times New Roman" w:cs="Times New Roman"/>
          <w:sz w:val="21"/>
          <w:szCs w:val="21"/>
          <w:lang w:eastAsia="en-US"/>
        </w:rPr>
        <w:t xml:space="preserve">L’identificazione del rischio, o meglio degli eventi rischiosi, ha l’obiettivo di individuare quei comportamenti o fatti che possono verificarsi in relazione ai processi di pertinenza </w:t>
      </w:r>
      <w:r w:rsidR="00D00217" w:rsidRPr="00E75524">
        <w:rPr>
          <w:rFonts w:eastAsia="Times New Roman" w:cs="Times New Roman"/>
          <w:sz w:val="21"/>
          <w:szCs w:val="21"/>
          <w:lang w:eastAsia="en-US"/>
        </w:rPr>
        <w:t>d</w:t>
      </w:r>
      <w:r w:rsidRPr="00E75524">
        <w:rPr>
          <w:rFonts w:eastAsia="Times New Roman" w:cs="Times New Roman"/>
          <w:sz w:val="21"/>
          <w:szCs w:val="21"/>
          <w:lang w:eastAsia="en-US"/>
        </w:rPr>
        <w:t xml:space="preserve">ella </w:t>
      </w:r>
      <w:r w:rsidR="00E75524">
        <w:rPr>
          <w:rFonts w:eastAsia="Times New Roman" w:cs="Times New Roman"/>
          <w:sz w:val="21"/>
          <w:szCs w:val="21"/>
          <w:lang w:eastAsia="en-US"/>
        </w:rPr>
        <w:t>realtà aziendale</w:t>
      </w:r>
      <w:r w:rsidRPr="00E75524">
        <w:rPr>
          <w:rFonts w:eastAsia="Times New Roman" w:cs="Times New Roman"/>
          <w:sz w:val="21"/>
          <w:szCs w:val="21"/>
          <w:lang w:eastAsia="en-US"/>
        </w:rPr>
        <w:t>, tramite cui si concretizza il fenomeno corruttivo.</w:t>
      </w:r>
    </w:p>
    <w:p w14:paraId="33B8ACF8" w14:textId="2EDD85B5" w:rsidR="00DF4619" w:rsidRPr="00D00217" w:rsidRDefault="00D00217" w:rsidP="000C31A5">
      <w:pPr>
        <w:widowControl/>
        <w:autoSpaceDE/>
        <w:autoSpaceDN/>
        <w:spacing w:line="360" w:lineRule="auto"/>
        <w:ind w:left="851" w:right="780"/>
        <w:jc w:val="both"/>
        <w:rPr>
          <w:rFonts w:eastAsia="Times New Roman" w:cs="Times New Roman"/>
          <w:bCs/>
          <w:sz w:val="21"/>
          <w:szCs w:val="21"/>
          <w:lang w:eastAsia="en-US" w:bidi="ar-SA"/>
        </w:rPr>
      </w:pPr>
      <w:bookmarkStart w:id="56" w:name="_Hlk67348221"/>
      <w:bookmarkEnd w:id="55"/>
      <w:r>
        <w:rPr>
          <w:rFonts w:eastAsia="Times New Roman" w:cs="Times New Roman"/>
          <w:bCs/>
          <w:sz w:val="21"/>
          <w:szCs w:val="21"/>
          <w:lang w:eastAsia="en-US"/>
        </w:rPr>
        <w:t>I</w:t>
      </w:r>
      <w:r w:rsidRPr="00D00217">
        <w:rPr>
          <w:rFonts w:eastAsia="Times New Roman" w:cs="Times New Roman"/>
          <w:bCs/>
          <w:sz w:val="21"/>
          <w:szCs w:val="21"/>
          <w:lang w:eastAsia="en-US"/>
        </w:rPr>
        <w:t xml:space="preserve"> </w:t>
      </w:r>
      <w:r w:rsidRPr="000D4CC3">
        <w:rPr>
          <w:rFonts w:eastAsia="Times New Roman" w:cs="Times New Roman"/>
          <w:b/>
          <w:sz w:val="21"/>
          <w:szCs w:val="21"/>
          <w:u w:val="single"/>
          <w:lang w:eastAsia="en-US"/>
        </w:rPr>
        <w:t>fattori abilitanti</w:t>
      </w:r>
      <w:r w:rsidRPr="00D00217">
        <w:rPr>
          <w:rFonts w:eastAsia="Times New Roman" w:cs="Times New Roman"/>
          <w:bCs/>
          <w:sz w:val="21"/>
          <w:szCs w:val="21"/>
          <w:lang w:eastAsia="en-US"/>
        </w:rPr>
        <w:t xml:space="preserve"> degli eventi corruttivi</w:t>
      </w:r>
      <w:r>
        <w:rPr>
          <w:rFonts w:eastAsia="Times New Roman" w:cs="Times New Roman"/>
          <w:bCs/>
          <w:sz w:val="21"/>
          <w:szCs w:val="21"/>
          <w:lang w:eastAsia="en-US"/>
        </w:rPr>
        <w:t xml:space="preserve"> sono definiti quali</w:t>
      </w:r>
      <w:r w:rsidRPr="00D00217">
        <w:rPr>
          <w:rFonts w:eastAsia="Times New Roman" w:cs="Times New Roman"/>
          <w:bCs/>
          <w:sz w:val="21"/>
          <w:szCs w:val="21"/>
          <w:lang w:eastAsia="en-US"/>
        </w:rPr>
        <w:t xml:space="preserve"> fattori di contesto che agevolano il verificarsi di comportamenti o fatti di corruzione. L’analisi di questi fattori consente di individuare le misure di trattamento più efficaci, ossia le azioni di risposta più appropriate e indicate per prevenire i rischi</w:t>
      </w:r>
      <w:r>
        <w:rPr>
          <w:rFonts w:eastAsia="Times New Roman" w:cs="Times New Roman"/>
          <w:bCs/>
          <w:sz w:val="21"/>
          <w:szCs w:val="21"/>
          <w:lang w:eastAsia="en-US"/>
        </w:rPr>
        <w:t xml:space="preserve"> e vengono prese in esame per determinare il livello di rischio di ciascun processo</w:t>
      </w:r>
      <w:r w:rsidRPr="00D00217">
        <w:rPr>
          <w:rFonts w:eastAsia="Times New Roman" w:cs="Times New Roman"/>
          <w:bCs/>
          <w:sz w:val="21"/>
          <w:szCs w:val="21"/>
          <w:lang w:eastAsia="en-US"/>
        </w:rPr>
        <w:t>.</w:t>
      </w:r>
    </w:p>
    <w:p w14:paraId="3038E074" w14:textId="31E644FA" w:rsidR="00DF4619" w:rsidRPr="00D00217" w:rsidRDefault="00D00217" w:rsidP="000C31A5">
      <w:pPr>
        <w:widowControl/>
        <w:autoSpaceDE/>
        <w:autoSpaceDN/>
        <w:spacing w:line="360" w:lineRule="auto"/>
        <w:ind w:left="851" w:right="780"/>
        <w:jc w:val="both"/>
        <w:rPr>
          <w:rFonts w:eastAsia="Times New Roman" w:cs="Times New Roman"/>
          <w:bCs/>
          <w:sz w:val="21"/>
          <w:szCs w:val="21"/>
          <w:lang w:eastAsia="en-US" w:bidi="ar-SA"/>
        </w:rPr>
      </w:pPr>
      <w:r w:rsidRPr="00D00217">
        <w:rPr>
          <w:rFonts w:eastAsia="Times New Roman" w:cs="Times New Roman"/>
          <w:bCs/>
          <w:sz w:val="21"/>
          <w:szCs w:val="21"/>
          <w:lang w:eastAsia="en-US" w:bidi="ar-SA"/>
        </w:rPr>
        <w:t>RPCT</w:t>
      </w:r>
      <w:r>
        <w:rPr>
          <w:rFonts w:eastAsia="Times New Roman" w:cs="Times New Roman"/>
          <w:bCs/>
          <w:sz w:val="21"/>
          <w:szCs w:val="21"/>
          <w:lang w:eastAsia="en-US" w:bidi="ar-SA"/>
        </w:rPr>
        <w:t xml:space="preserve">, nella redazione della tabella di rischio di cui </w:t>
      </w:r>
      <w:r w:rsidRPr="00D00217">
        <w:rPr>
          <w:rFonts w:eastAsia="Times New Roman" w:cs="Times New Roman"/>
          <w:bCs/>
          <w:i/>
          <w:iCs/>
          <w:sz w:val="21"/>
          <w:szCs w:val="21"/>
          <w:lang w:eastAsia="en-US" w:bidi="ar-SA"/>
        </w:rPr>
        <w:t>infra</w:t>
      </w:r>
      <w:r>
        <w:rPr>
          <w:rFonts w:eastAsia="Times New Roman" w:cs="Times New Roman"/>
          <w:bCs/>
          <w:sz w:val="21"/>
          <w:szCs w:val="21"/>
          <w:lang w:eastAsia="en-US" w:bidi="ar-SA"/>
        </w:rPr>
        <w:t>, ha tenuto conto della presenza o meno dei seguenti fattori:</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DF4619" w:rsidRPr="00DF4619" w14:paraId="50512764" w14:textId="77777777" w:rsidTr="000C31A5">
        <w:trPr>
          <w:trHeight w:val="323"/>
        </w:trPr>
        <w:tc>
          <w:tcPr>
            <w:tcW w:w="9072" w:type="dxa"/>
          </w:tcPr>
          <w:p w14:paraId="67C01E24" w14:textId="69F0FA78" w:rsidR="00DF4619" w:rsidRPr="00D00217" w:rsidRDefault="00DF4619" w:rsidP="00D00217">
            <w:pPr>
              <w:widowControl/>
              <w:autoSpaceDE/>
              <w:autoSpaceDN/>
              <w:ind w:left="323" w:right="35"/>
              <w:jc w:val="both"/>
              <w:rPr>
                <w:rFonts w:eastAsia="Times New Roman" w:cs="Times New Roman"/>
                <w:sz w:val="21"/>
                <w:szCs w:val="21"/>
                <w:lang w:eastAsia="en-US"/>
              </w:rPr>
            </w:pPr>
            <w:r w:rsidRPr="00D00217">
              <w:rPr>
                <w:rFonts w:eastAsia="Times New Roman" w:cs="Times New Roman"/>
                <w:sz w:val="21"/>
                <w:szCs w:val="21"/>
                <w:lang w:eastAsia="en-US"/>
              </w:rPr>
              <w:t>a) mancanza di misure di trattamento del rischio (controlli)</w:t>
            </w:r>
          </w:p>
        </w:tc>
      </w:tr>
      <w:tr w:rsidR="00DF4619" w:rsidRPr="00DF4619" w14:paraId="2734AEC7" w14:textId="77777777" w:rsidTr="000C31A5">
        <w:trPr>
          <w:trHeight w:val="277"/>
        </w:trPr>
        <w:tc>
          <w:tcPr>
            <w:tcW w:w="9072" w:type="dxa"/>
          </w:tcPr>
          <w:p w14:paraId="5460F8C6" w14:textId="77777777" w:rsidR="00DF4619" w:rsidRPr="00D00217" w:rsidRDefault="00DF4619" w:rsidP="00D00217">
            <w:pPr>
              <w:widowControl/>
              <w:autoSpaceDE/>
              <w:autoSpaceDN/>
              <w:ind w:left="323" w:right="35"/>
              <w:jc w:val="both"/>
              <w:rPr>
                <w:rFonts w:eastAsia="Times New Roman" w:cs="Times New Roman"/>
                <w:sz w:val="21"/>
                <w:szCs w:val="21"/>
                <w:lang w:eastAsia="en-US"/>
              </w:rPr>
            </w:pPr>
            <w:r w:rsidRPr="00D00217">
              <w:rPr>
                <w:rFonts w:eastAsia="Times New Roman" w:cs="Times New Roman"/>
                <w:sz w:val="21"/>
                <w:szCs w:val="21"/>
                <w:lang w:eastAsia="en-US"/>
              </w:rPr>
              <w:t>b) mancanza di trasparenza;</w:t>
            </w:r>
          </w:p>
        </w:tc>
      </w:tr>
      <w:tr w:rsidR="00DF4619" w:rsidRPr="00DF4619" w14:paraId="67805679" w14:textId="77777777" w:rsidTr="000C31A5">
        <w:trPr>
          <w:trHeight w:val="417"/>
        </w:trPr>
        <w:tc>
          <w:tcPr>
            <w:tcW w:w="9072" w:type="dxa"/>
          </w:tcPr>
          <w:p w14:paraId="4E09C2BB" w14:textId="31BD19DF" w:rsidR="00DF4619" w:rsidRPr="00D00217" w:rsidRDefault="00DF4619" w:rsidP="00D00217">
            <w:pPr>
              <w:widowControl/>
              <w:autoSpaceDE/>
              <w:autoSpaceDN/>
              <w:ind w:left="323" w:right="35"/>
              <w:jc w:val="both"/>
              <w:rPr>
                <w:rFonts w:eastAsia="Times New Roman" w:cs="Times New Roman"/>
                <w:sz w:val="21"/>
                <w:szCs w:val="21"/>
                <w:lang w:eastAsia="en-US"/>
              </w:rPr>
            </w:pPr>
            <w:r w:rsidRPr="00D00217">
              <w:rPr>
                <w:rFonts w:eastAsia="Times New Roman" w:cs="Times New Roman"/>
                <w:sz w:val="21"/>
                <w:szCs w:val="21"/>
                <w:lang w:eastAsia="en-US"/>
              </w:rPr>
              <w:t>c) complessità e scarsa chiarezza della normativa di riferimento;</w:t>
            </w:r>
          </w:p>
        </w:tc>
      </w:tr>
      <w:tr w:rsidR="00DF4619" w:rsidRPr="00DF4619" w14:paraId="40820425" w14:textId="77777777" w:rsidTr="000C31A5">
        <w:trPr>
          <w:trHeight w:val="561"/>
        </w:trPr>
        <w:tc>
          <w:tcPr>
            <w:tcW w:w="9072" w:type="dxa"/>
          </w:tcPr>
          <w:p w14:paraId="4182584B" w14:textId="6B2DE482" w:rsidR="00DF4619" w:rsidRPr="00D00217" w:rsidRDefault="00DF4619" w:rsidP="00D00217">
            <w:pPr>
              <w:widowControl/>
              <w:autoSpaceDE/>
              <w:autoSpaceDN/>
              <w:ind w:left="323" w:right="35"/>
              <w:jc w:val="both"/>
              <w:rPr>
                <w:rFonts w:eastAsia="Times New Roman" w:cs="Times New Roman"/>
                <w:sz w:val="21"/>
                <w:szCs w:val="21"/>
                <w:lang w:eastAsia="en-US"/>
              </w:rPr>
            </w:pPr>
            <w:r w:rsidRPr="00D00217">
              <w:rPr>
                <w:rFonts w:eastAsia="Times New Roman" w:cs="Times New Roman"/>
                <w:sz w:val="21"/>
                <w:szCs w:val="21"/>
                <w:lang w:eastAsia="en-US"/>
              </w:rPr>
              <w:t>d) esercizio prolungato ed esclusivo della responsabilità di un processo da parte di pochi o di un unico soggetto</w:t>
            </w:r>
          </w:p>
        </w:tc>
      </w:tr>
      <w:tr w:rsidR="00DF4619" w:rsidRPr="00DF4619" w14:paraId="4C573F1C" w14:textId="77777777" w:rsidTr="000C31A5">
        <w:trPr>
          <w:trHeight w:val="413"/>
        </w:trPr>
        <w:tc>
          <w:tcPr>
            <w:tcW w:w="9072" w:type="dxa"/>
          </w:tcPr>
          <w:p w14:paraId="56E5E38B" w14:textId="77777777" w:rsidR="00DF4619" w:rsidRPr="00D00217" w:rsidRDefault="00DF4619" w:rsidP="00D00217">
            <w:pPr>
              <w:widowControl/>
              <w:autoSpaceDE/>
              <w:autoSpaceDN/>
              <w:ind w:left="323" w:right="35"/>
              <w:jc w:val="both"/>
              <w:rPr>
                <w:rFonts w:eastAsia="Times New Roman" w:cs="Times New Roman"/>
                <w:sz w:val="21"/>
                <w:szCs w:val="21"/>
                <w:lang w:eastAsia="en-US"/>
              </w:rPr>
            </w:pPr>
            <w:r w:rsidRPr="00D00217">
              <w:rPr>
                <w:rFonts w:eastAsia="Times New Roman" w:cs="Times New Roman"/>
                <w:sz w:val="21"/>
                <w:szCs w:val="21"/>
                <w:lang w:eastAsia="en-US"/>
              </w:rPr>
              <w:t>e) scarsa responsabilizzazione interna;</w:t>
            </w:r>
          </w:p>
        </w:tc>
      </w:tr>
      <w:tr w:rsidR="00DF4619" w:rsidRPr="00DF4619" w14:paraId="5499A5C9" w14:textId="77777777" w:rsidTr="000C31A5">
        <w:trPr>
          <w:trHeight w:val="559"/>
        </w:trPr>
        <w:tc>
          <w:tcPr>
            <w:tcW w:w="9072" w:type="dxa"/>
          </w:tcPr>
          <w:p w14:paraId="4A1CF96D" w14:textId="77777777" w:rsidR="00DF4619" w:rsidRPr="00D00217" w:rsidRDefault="00DF4619" w:rsidP="00D00217">
            <w:pPr>
              <w:widowControl/>
              <w:autoSpaceDE/>
              <w:autoSpaceDN/>
              <w:ind w:left="323" w:right="35"/>
              <w:jc w:val="both"/>
              <w:rPr>
                <w:rFonts w:eastAsia="Times New Roman" w:cs="Times New Roman"/>
                <w:sz w:val="21"/>
                <w:szCs w:val="21"/>
                <w:lang w:eastAsia="en-US"/>
              </w:rPr>
            </w:pPr>
            <w:r w:rsidRPr="00D00217">
              <w:rPr>
                <w:rFonts w:eastAsia="Times New Roman" w:cs="Times New Roman"/>
                <w:sz w:val="21"/>
                <w:szCs w:val="21"/>
                <w:lang w:eastAsia="en-US"/>
              </w:rPr>
              <w:t>f) inadeguatezza o assenza di competenze del personale addetto ai processi;</w:t>
            </w:r>
          </w:p>
        </w:tc>
      </w:tr>
      <w:tr w:rsidR="00DF4619" w:rsidRPr="00DF4619" w14:paraId="5160CAD8" w14:textId="77777777" w:rsidTr="000C31A5">
        <w:trPr>
          <w:trHeight w:val="414"/>
        </w:trPr>
        <w:tc>
          <w:tcPr>
            <w:tcW w:w="9072" w:type="dxa"/>
          </w:tcPr>
          <w:p w14:paraId="2579EC09" w14:textId="77777777" w:rsidR="00DF4619" w:rsidRPr="00D00217" w:rsidRDefault="00DF4619" w:rsidP="00D00217">
            <w:pPr>
              <w:widowControl/>
              <w:autoSpaceDE/>
              <w:autoSpaceDN/>
              <w:ind w:left="323" w:right="35"/>
              <w:jc w:val="both"/>
              <w:rPr>
                <w:rFonts w:eastAsia="Times New Roman" w:cs="Times New Roman"/>
                <w:sz w:val="21"/>
                <w:szCs w:val="21"/>
                <w:lang w:eastAsia="en-US"/>
              </w:rPr>
            </w:pPr>
            <w:r w:rsidRPr="00D00217">
              <w:rPr>
                <w:rFonts w:eastAsia="Times New Roman" w:cs="Times New Roman"/>
                <w:sz w:val="21"/>
                <w:szCs w:val="21"/>
                <w:lang w:eastAsia="en-US"/>
              </w:rPr>
              <w:t>g) inadeguata diffusione della cultura della legalità;</w:t>
            </w:r>
          </w:p>
        </w:tc>
      </w:tr>
    </w:tbl>
    <w:p w14:paraId="60D61A41" w14:textId="479BDDD7" w:rsidR="00A56420" w:rsidRPr="00E75524" w:rsidRDefault="00D00217" w:rsidP="000C31A5">
      <w:pPr>
        <w:spacing w:before="246" w:line="276" w:lineRule="auto"/>
        <w:ind w:left="851" w:right="780"/>
        <w:jc w:val="both"/>
        <w:rPr>
          <w:rFonts w:eastAsia="Calibri" w:cs="Calibri"/>
          <w:sz w:val="21"/>
          <w:szCs w:val="21"/>
        </w:rPr>
      </w:pPr>
      <w:r w:rsidRPr="00E75524">
        <w:rPr>
          <w:rFonts w:eastAsia="Calibri" w:cs="Calibri"/>
          <w:sz w:val="21"/>
          <w:szCs w:val="21"/>
        </w:rPr>
        <w:t xml:space="preserve">A supporto delle conclusioni ed a confronto delle risultanze del </w:t>
      </w:r>
      <w:r w:rsidR="00A56420" w:rsidRPr="00E75524">
        <w:rPr>
          <w:rFonts w:eastAsia="Calibri" w:cs="Calibri"/>
          <w:sz w:val="21"/>
          <w:szCs w:val="21"/>
        </w:rPr>
        <w:t xml:space="preserve">processo di misurazione del livello di rischio </w:t>
      </w:r>
      <w:r w:rsidRPr="00E75524">
        <w:rPr>
          <w:rFonts w:eastAsia="Calibri" w:cs="Calibri"/>
          <w:sz w:val="21"/>
          <w:szCs w:val="21"/>
        </w:rPr>
        <w:t xml:space="preserve">sono stati esaminati </w:t>
      </w:r>
      <w:r w:rsidR="00A56420" w:rsidRPr="00E75524">
        <w:rPr>
          <w:rFonts w:eastAsia="Calibri" w:cs="Calibri"/>
          <w:sz w:val="21"/>
          <w:szCs w:val="21"/>
        </w:rPr>
        <w:t>dati statistici</w:t>
      </w:r>
      <w:r w:rsidRPr="00E75524">
        <w:rPr>
          <w:rFonts w:eastAsia="Calibri" w:cs="Calibri"/>
          <w:sz w:val="21"/>
          <w:szCs w:val="21"/>
        </w:rPr>
        <w:t>,</w:t>
      </w:r>
      <w:r w:rsidR="00A56420" w:rsidRPr="00E75524">
        <w:rPr>
          <w:rFonts w:eastAsia="Calibri" w:cs="Calibri"/>
          <w:sz w:val="21"/>
          <w:szCs w:val="21"/>
        </w:rPr>
        <w:t xml:space="preserve"> che possono essere utilizzati per stimare la frequenza di accadimento futuro degli eventi corruttivi. </w:t>
      </w:r>
    </w:p>
    <w:p w14:paraId="10BA12D2" w14:textId="77777777" w:rsidR="00A56420" w:rsidRPr="00E75524" w:rsidRDefault="00A56420" w:rsidP="00A56420">
      <w:pPr>
        <w:spacing w:before="6" w:after="1"/>
        <w:rPr>
          <w:rFonts w:eastAsia="Calibri" w:cs="Calibri"/>
          <w:sz w:val="21"/>
          <w:szCs w:val="21"/>
        </w:rPr>
      </w:pPr>
    </w:p>
    <w:tbl>
      <w:tblPr>
        <w:tblStyle w:val="TableNormal3"/>
        <w:tblW w:w="907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0"/>
        <w:gridCol w:w="4892"/>
      </w:tblGrid>
      <w:tr w:rsidR="00A56420" w:rsidRPr="00E75524" w14:paraId="42FA9EE5" w14:textId="77777777" w:rsidTr="00A53ECD">
        <w:trPr>
          <w:trHeight w:val="3019"/>
        </w:trPr>
        <w:tc>
          <w:tcPr>
            <w:tcW w:w="4180" w:type="dxa"/>
          </w:tcPr>
          <w:p w14:paraId="4D70C8A5" w14:textId="77777777" w:rsidR="00A56420" w:rsidRPr="00E75524" w:rsidRDefault="00A56420" w:rsidP="00A56420">
            <w:pPr>
              <w:rPr>
                <w:rFonts w:eastAsia="Calibri" w:cs="Calibri"/>
                <w:sz w:val="21"/>
                <w:szCs w:val="21"/>
              </w:rPr>
            </w:pPr>
          </w:p>
          <w:p w14:paraId="33517092" w14:textId="77777777" w:rsidR="00A56420" w:rsidRPr="00E75524" w:rsidRDefault="00A56420" w:rsidP="00A56420">
            <w:pPr>
              <w:rPr>
                <w:rFonts w:eastAsia="Calibri" w:cs="Calibri"/>
                <w:sz w:val="21"/>
                <w:szCs w:val="21"/>
              </w:rPr>
            </w:pPr>
          </w:p>
          <w:p w14:paraId="565871C5" w14:textId="77777777" w:rsidR="00A56420" w:rsidRPr="00E75524" w:rsidRDefault="00A56420" w:rsidP="00A56420">
            <w:pPr>
              <w:rPr>
                <w:rFonts w:eastAsia="Calibri" w:cs="Calibri"/>
                <w:sz w:val="21"/>
                <w:szCs w:val="21"/>
              </w:rPr>
            </w:pPr>
          </w:p>
          <w:p w14:paraId="1A117F84" w14:textId="77777777" w:rsidR="00A56420" w:rsidRPr="00E75524" w:rsidRDefault="00A56420" w:rsidP="00A56420">
            <w:pPr>
              <w:spacing w:before="8"/>
              <w:rPr>
                <w:rFonts w:eastAsia="Calibri" w:cs="Calibri"/>
                <w:sz w:val="21"/>
                <w:szCs w:val="21"/>
              </w:rPr>
            </w:pPr>
          </w:p>
          <w:p w14:paraId="2C55A27A" w14:textId="66E5E839" w:rsidR="00A56420" w:rsidRPr="00E75524" w:rsidRDefault="00D00217" w:rsidP="00A56420">
            <w:pPr>
              <w:spacing w:line="276" w:lineRule="auto"/>
              <w:ind w:left="107" w:right="96"/>
              <w:jc w:val="both"/>
              <w:rPr>
                <w:rFonts w:eastAsia="Calibri" w:cs="Calibri"/>
                <w:bCs/>
                <w:sz w:val="21"/>
                <w:szCs w:val="21"/>
              </w:rPr>
            </w:pPr>
            <w:r w:rsidRPr="00E75524">
              <w:rPr>
                <w:rFonts w:eastAsia="Calibri" w:cs="Calibri"/>
                <w:bCs/>
                <w:sz w:val="21"/>
                <w:szCs w:val="21"/>
              </w:rPr>
              <w:t>D</w:t>
            </w:r>
            <w:r w:rsidR="00A56420" w:rsidRPr="00E75524">
              <w:rPr>
                <w:rFonts w:eastAsia="Calibri" w:cs="Calibri"/>
                <w:bCs/>
                <w:sz w:val="21"/>
                <w:szCs w:val="21"/>
              </w:rPr>
              <w:t>ati sui precedenti giudiziari e/o sui procedimenti disciplinari a carico dei dipendenti dell’amministrazione</w:t>
            </w:r>
          </w:p>
        </w:tc>
        <w:tc>
          <w:tcPr>
            <w:tcW w:w="4892" w:type="dxa"/>
          </w:tcPr>
          <w:p w14:paraId="6C46ECA6" w14:textId="09A71F7D" w:rsidR="00A56420" w:rsidRPr="00E75524" w:rsidRDefault="00D00217" w:rsidP="00D00217">
            <w:pPr>
              <w:spacing w:line="278" w:lineRule="auto"/>
              <w:ind w:left="107" w:right="166"/>
              <w:jc w:val="both"/>
              <w:rPr>
                <w:rFonts w:eastAsia="Calibri" w:cs="Calibri"/>
                <w:sz w:val="21"/>
                <w:szCs w:val="21"/>
              </w:rPr>
            </w:pPr>
            <w:r w:rsidRPr="00E75524">
              <w:rPr>
                <w:rFonts w:eastAsia="Calibri" w:cs="Calibri"/>
                <w:sz w:val="21"/>
                <w:szCs w:val="21"/>
              </w:rPr>
              <w:t xml:space="preserve">Eventuali </w:t>
            </w:r>
            <w:r w:rsidR="00A56420" w:rsidRPr="00E75524">
              <w:rPr>
                <w:rFonts w:eastAsia="Calibri" w:cs="Calibri"/>
                <w:sz w:val="21"/>
                <w:szCs w:val="21"/>
              </w:rPr>
              <w:t>sentenze passate in giudicato, i procedimenti in corso, e i decreti di citazione a giudizio riguardanti</w:t>
            </w:r>
            <w:r w:rsidRPr="00E75524">
              <w:rPr>
                <w:rFonts w:eastAsia="Calibri" w:cs="Calibri"/>
                <w:sz w:val="21"/>
                <w:szCs w:val="21"/>
              </w:rPr>
              <w:t>.</w:t>
            </w:r>
          </w:p>
          <w:p w14:paraId="77F17D55" w14:textId="77777777" w:rsidR="00A56420" w:rsidRPr="00E75524" w:rsidRDefault="00A56420" w:rsidP="00D506C9">
            <w:pPr>
              <w:numPr>
                <w:ilvl w:val="0"/>
                <w:numId w:val="34"/>
              </w:numPr>
              <w:tabs>
                <w:tab w:val="left" w:pos="439"/>
              </w:tabs>
              <w:spacing w:before="193"/>
              <w:ind w:right="166"/>
              <w:jc w:val="both"/>
              <w:rPr>
                <w:rFonts w:eastAsia="Calibri" w:cs="Calibri"/>
                <w:sz w:val="21"/>
                <w:szCs w:val="21"/>
              </w:rPr>
            </w:pPr>
            <w:r w:rsidRPr="00E75524">
              <w:rPr>
                <w:rFonts w:eastAsia="Calibri" w:cs="Calibri"/>
                <w:sz w:val="21"/>
                <w:szCs w:val="21"/>
              </w:rPr>
              <w:t>I reati contro la</w:t>
            </w:r>
            <w:r w:rsidRPr="00E75524">
              <w:rPr>
                <w:rFonts w:eastAsia="Calibri" w:cs="Calibri"/>
                <w:spacing w:val="-3"/>
                <w:sz w:val="21"/>
                <w:szCs w:val="21"/>
              </w:rPr>
              <w:t xml:space="preserve"> </w:t>
            </w:r>
            <w:r w:rsidRPr="00E75524">
              <w:rPr>
                <w:rFonts w:eastAsia="Calibri" w:cs="Calibri"/>
                <w:sz w:val="21"/>
                <w:szCs w:val="21"/>
              </w:rPr>
              <w:t>PA;</w:t>
            </w:r>
          </w:p>
          <w:p w14:paraId="06622EC7" w14:textId="77777777" w:rsidR="00A56420" w:rsidRPr="00E75524" w:rsidRDefault="00A56420" w:rsidP="00D00217">
            <w:pPr>
              <w:spacing w:before="6"/>
              <w:ind w:right="166"/>
              <w:jc w:val="both"/>
              <w:rPr>
                <w:rFonts w:eastAsia="Calibri" w:cs="Calibri"/>
                <w:sz w:val="21"/>
                <w:szCs w:val="21"/>
              </w:rPr>
            </w:pPr>
          </w:p>
          <w:p w14:paraId="1D1B7F98" w14:textId="1CD1F1EC" w:rsidR="00A56420" w:rsidRPr="00E75524" w:rsidRDefault="00A56420" w:rsidP="00D506C9">
            <w:pPr>
              <w:numPr>
                <w:ilvl w:val="0"/>
                <w:numId w:val="34"/>
              </w:numPr>
              <w:tabs>
                <w:tab w:val="left" w:pos="439"/>
              </w:tabs>
              <w:spacing w:line="276" w:lineRule="auto"/>
              <w:ind w:right="166"/>
              <w:jc w:val="both"/>
              <w:rPr>
                <w:rFonts w:eastAsia="Calibri" w:cs="Calibri"/>
                <w:sz w:val="21"/>
                <w:szCs w:val="21"/>
              </w:rPr>
            </w:pPr>
            <w:r w:rsidRPr="00E75524">
              <w:rPr>
                <w:rFonts w:eastAsia="Calibri" w:cs="Calibri"/>
                <w:sz w:val="21"/>
                <w:szCs w:val="21"/>
              </w:rPr>
              <w:t>Il falso e la truffa, con particolare riferimento alle truffe aggravate all’amministrazione</w:t>
            </w:r>
            <w:r w:rsidR="00A53ECD" w:rsidRPr="00E75524">
              <w:rPr>
                <w:rFonts w:eastAsia="Calibri" w:cs="Calibri"/>
                <w:sz w:val="21"/>
                <w:szCs w:val="21"/>
              </w:rPr>
              <w:t xml:space="preserve"> </w:t>
            </w:r>
            <w:r w:rsidRPr="00E75524">
              <w:rPr>
                <w:rFonts w:eastAsia="Calibri" w:cs="Calibri"/>
                <w:sz w:val="21"/>
                <w:szCs w:val="21"/>
              </w:rPr>
              <w:t>(art.640 e 640 bis</w:t>
            </w:r>
            <w:r w:rsidRPr="00E75524">
              <w:rPr>
                <w:rFonts w:eastAsia="Calibri" w:cs="Calibri"/>
                <w:spacing w:val="-1"/>
                <w:sz w:val="21"/>
                <w:szCs w:val="21"/>
              </w:rPr>
              <w:t xml:space="preserve"> </w:t>
            </w:r>
            <w:r w:rsidRPr="00E75524">
              <w:rPr>
                <w:rFonts w:eastAsia="Calibri" w:cs="Calibri"/>
                <w:sz w:val="21"/>
                <w:szCs w:val="21"/>
              </w:rPr>
              <w:t>c.p.)</w:t>
            </w:r>
          </w:p>
        </w:tc>
      </w:tr>
      <w:tr w:rsidR="00A56420" w:rsidRPr="00E75524" w14:paraId="6CB2CE56" w14:textId="77777777" w:rsidTr="00A53ECD">
        <w:trPr>
          <w:trHeight w:val="1684"/>
        </w:trPr>
        <w:tc>
          <w:tcPr>
            <w:tcW w:w="4180" w:type="dxa"/>
          </w:tcPr>
          <w:p w14:paraId="23AE8545" w14:textId="77777777" w:rsidR="00A56420" w:rsidRPr="00E75524" w:rsidRDefault="00A56420" w:rsidP="00A56420">
            <w:pPr>
              <w:rPr>
                <w:rFonts w:eastAsia="Calibri" w:cs="Calibri"/>
                <w:sz w:val="21"/>
                <w:szCs w:val="21"/>
              </w:rPr>
            </w:pPr>
          </w:p>
          <w:p w14:paraId="793B65E1" w14:textId="77777777" w:rsidR="00A56420" w:rsidRPr="00E75524" w:rsidRDefault="00A56420" w:rsidP="00A56420">
            <w:pPr>
              <w:rPr>
                <w:rFonts w:eastAsia="Calibri" w:cs="Calibri"/>
                <w:sz w:val="21"/>
                <w:szCs w:val="21"/>
              </w:rPr>
            </w:pPr>
          </w:p>
          <w:p w14:paraId="76C06351" w14:textId="77777777" w:rsidR="00A56420" w:rsidRPr="00E75524" w:rsidRDefault="00A56420" w:rsidP="00A56420">
            <w:pPr>
              <w:rPr>
                <w:rFonts w:eastAsia="Calibri" w:cs="Calibri"/>
                <w:sz w:val="21"/>
                <w:szCs w:val="21"/>
              </w:rPr>
            </w:pPr>
          </w:p>
          <w:p w14:paraId="4DAF20EC" w14:textId="77777777" w:rsidR="00A56420" w:rsidRPr="00E75524" w:rsidRDefault="00A56420" w:rsidP="00A56420">
            <w:pPr>
              <w:ind w:left="107"/>
              <w:rPr>
                <w:rFonts w:eastAsia="Calibri" w:cs="Calibri"/>
                <w:sz w:val="21"/>
                <w:szCs w:val="21"/>
              </w:rPr>
            </w:pPr>
            <w:r w:rsidRPr="00E75524">
              <w:rPr>
                <w:rFonts w:eastAsia="Calibri" w:cs="Calibri"/>
                <w:sz w:val="21"/>
                <w:szCs w:val="21"/>
              </w:rPr>
              <w:t>Le segnalazioni pervenute</w:t>
            </w:r>
          </w:p>
        </w:tc>
        <w:tc>
          <w:tcPr>
            <w:tcW w:w="4892" w:type="dxa"/>
          </w:tcPr>
          <w:p w14:paraId="296A43AB" w14:textId="47DB8E1D" w:rsidR="00A56420" w:rsidRPr="00E75524" w:rsidRDefault="00A53ECD" w:rsidP="00A53ECD">
            <w:pPr>
              <w:spacing w:line="265" w:lineRule="exact"/>
              <w:ind w:left="107" w:right="166"/>
              <w:jc w:val="both"/>
              <w:rPr>
                <w:rFonts w:eastAsia="Calibri" w:cs="Calibri"/>
                <w:sz w:val="21"/>
                <w:szCs w:val="21"/>
              </w:rPr>
            </w:pPr>
            <w:r w:rsidRPr="00E75524">
              <w:rPr>
                <w:rFonts w:eastAsia="Calibri" w:cs="Calibri"/>
                <w:sz w:val="21"/>
                <w:szCs w:val="21"/>
              </w:rPr>
              <w:t>S</w:t>
            </w:r>
            <w:r w:rsidR="00A56420" w:rsidRPr="00E75524">
              <w:rPr>
                <w:rFonts w:eastAsia="Calibri" w:cs="Calibri"/>
                <w:sz w:val="21"/>
                <w:szCs w:val="21"/>
              </w:rPr>
              <w:t>egnalazioni ricevute sia dall’interno</w:t>
            </w:r>
            <w:r w:rsidRPr="00E75524">
              <w:rPr>
                <w:rFonts w:eastAsia="Calibri" w:cs="Calibri"/>
                <w:sz w:val="21"/>
                <w:szCs w:val="21"/>
              </w:rPr>
              <w:t xml:space="preserve"> </w:t>
            </w:r>
            <w:r w:rsidR="00A56420" w:rsidRPr="00E75524">
              <w:rPr>
                <w:rFonts w:eastAsia="Calibri" w:cs="Calibri"/>
                <w:sz w:val="21"/>
                <w:szCs w:val="21"/>
              </w:rPr>
              <w:t xml:space="preserve">dell’amministrazione </w:t>
            </w:r>
            <w:r w:rsidRPr="00E75524">
              <w:rPr>
                <w:rFonts w:eastAsia="Calibri" w:cs="Calibri"/>
                <w:sz w:val="21"/>
                <w:szCs w:val="21"/>
              </w:rPr>
              <w:t>che</w:t>
            </w:r>
            <w:r w:rsidR="00A56420" w:rsidRPr="00E75524">
              <w:rPr>
                <w:rFonts w:eastAsia="Calibri" w:cs="Calibri"/>
                <w:sz w:val="21"/>
                <w:szCs w:val="21"/>
              </w:rPr>
              <w:t xml:space="preserve"> dall’esterno</w:t>
            </w:r>
            <w:r w:rsidRPr="00E75524">
              <w:rPr>
                <w:rFonts w:eastAsia="Calibri" w:cs="Calibri"/>
                <w:sz w:val="21"/>
                <w:szCs w:val="21"/>
              </w:rPr>
              <w:t xml:space="preserve">, oltre che </w:t>
            </w:r>
            <w:r w:rsidR="00A56420" w:rsidRPr="00E75524">
              <w:rPr>
                <w:rFonts w:eastAsia="Calibri" w:cs="Calibri"/>
                <w:sz w:val="21"/>
                <w:szCs w:val="21"/>
              </w:rPr>
              <w:t>reclami che possono indirizzare</w:t>
            </w:r>
            <w:r w:rsidRPr="00E75524">
              <w:rPr>
                <w:rFonts w:eastAsia="Calibri" w:cs="Calibri"/>
                <w:sz w:val="21"/>
                <w:szCs w:val="21"/>
              </w:rPr>
              <w:t xml:space="preserve"> </w:t>
            </w:r>
            <w:r w:rsidR="00A56420" w:rsidRPr="00E75524">
              <w:rPr>
                <w:rFonts w:eastAsia="Calibri" w:cs="Calibri"/>
                <w:sz w:val="21"/>
                <w:szCs w:val="21"/>
              </w:rPr>
              <w:t>l’attenzione su possibili malfunzionamenti o sulla mala gestione di taluni processi organizzativi.</w:t>
            </w:r>
          </w:p>
        </w:tc>
      </w:tr>
      <w:tr w:rsidR="00A56420" w:rsidRPr="00E75524" w14:paraId="6AE13B4C" w14:textId="77777777" w:rsidTr="00A53ECD">
        <w:trPr>
          <w:trHeight w:val="731"/>
        </w:trPr>
        <w:tc>
          <w:tcPr>
            <w:tcW w:w="4180" w:type="dxa"/>
          </w:tcPr>
          <w:p w14:paraId="22A2A391" w14:textId="77777777" w:rsidR="00A56420" w:rsidRPr="00E75524" w:rsidRDefault="00A56420" w:rsidP="00A56420">
            <w:pPr>
              <w:spacing w:before="2"/>
              <w:rPr>
                <w:rFonts w:eastAsia="Calibri" w:cs="Calibri"/>
                <w:sz w:val="21"/>
                <w:szCs w:val="21"/>
              </w:rPr>
            </w:pPr>
          </w:p>
          <w:p w14:paraId="5469C1EC" w14:textId="77777777" w:rsidR="00A56420" w:rsidRPr="00E75524" w:rsidRDefault="00A56420" w:rsidP="00A56420">
            <w:pPr>
              <w:ind w:left="107"/>
              <w:rPr>
                <w:rFonts w:eastAsia="Calibri" w:cs="Calibri"/>
                <w:sz w:val="21"/>
                <w:szCs w:val="21"/>
              </w:rPr>
            </w:pPr>
            <w:r w:rsidRPr="00E75524">
              <w:rPr>
                <w:rFonts w:eastAsia="Calibri" w:cs="Calibri"/>
                <w:sz w:val="21"/>
                <w:szCs w:val="21"/>
              </w:rPr>
              <w:t>Ulteriori dati in possesso dell’amministrazione</w:t>
            </w:r>
          </w:p>
        </w:tc>
        <w:tc>
          <w:tcPr>
            <w:tcW w:w="4892" w:type="dxa"/>
          </w:tcPr>
          <w:p w14:paraId="7841692D" w14:textId="77777777" w:rsidR="00A56420" w:rsidRPr="00E75524" w:rsidRDefault="00A56420" w:rsidP="00A56420">
            <w:pPr>
              <w:spacing w:before="2"/>
              <w:rPr>
                <w:rFonts w:eastAsia="Calibri" w:cs="Calibri"/>
                <w:sz w:val="21"/>
                <w:szCs w:val="21"/>
              </w:rPr>
            </w:pPr>
          </w:p>
          <w:p w14:paraId="006CD984" w14:textId="77777777" w:rsidR="00A56420" w:rsidRPr="00E75524" w:rsidRDefault="00A56420" w:rsidP="00A56420">
            <w:pPr>
              <w:ind w:left="155"/>
              <w:rPr>
                <w:rFonts w:eastAsia="Calibri" w:cs="Calibri"/>
                <w:sz w:val="21"/>
                <w:szCs w:val="21"/>
              </w:rPr>
            </w:pPr>
            <w:r w:rsidRPr="00E75524">
              <w:rPr>
                <w:rFonts w:eastAsia="Calibri" w:cs="Calibri"/>
                <w:sz w:val="21"/>
                <w:szCs w:val="21"/>
              </w:rPr>
              <w:t>rassegne stampa, ecc..</w:t>
            </w:r>
          </w:p>
        </w:tc>
      </w:tr>
    </w:tbl>
    <w:p w14:paraId="70B436D7" w14:textId="77777777" w:rsidR="00A53ECD" w:rsidRPr="00E75524" w:rsidRDefault="00A53ECD" w:rsidP="00A53ECD">
      <w:pPr>
        <w:spacing w:after="7"/>
        <w:rPr>
          <w:rFonts w:eastAsia="Calibri" w:cs="Calibri"/>
          <w:b/>
          <w:sz w:val="21"/>
          <w:szCs w:val="21"/>
        </w:rPr>
      </w:pPr>
    </w:p>
    <w:p w14:paraId="31A80B35" w14:textId="3D7BB2B9" w:rsidR="00A53ECD" w:rsidRPr="00E75524" w:rsidRDefault="00A53ECD" w:rsidP="000C31A5">
      <w:pPr>
        <w:spacing w:after="7"/>
        <w:ind w:left="993" w:right="780"/>
        <w:jc w:val="both"/>
        <w:rPr>
          <w:rFonts w:eastAsia="Calibri" w:cs="Calibri"/>
          <w:bCs/>
          <w:sz w:val="21"/>
          <w:szCs w:val="21"/>
        </w:rPr>
      </w:pPr>
      <w:r w:rsidRPr="00E75524">
        <w:rPr>
          <w:rFonts w:eastAsia="Calibri" w:cs="Calibri"/>
          <w:bCs/>
          <w:sz w:val="21"/>
          <w:szCs w:val="21"/>
        </w:rPr>
        <w:t>Quali ulteriori elementi (indicatori) è stato esaminato il ricorrere o meno dei seguenti fattori.</w:t>
      </w:r>
    </w:p>
    <w:p w14:paraId="46A530DC" w14:textId="77777777" w:rsidR="00A53ECD" w:rsidRPr="00E75524" w:rsidRDefault="00A53ECD" w:rsidP="000C31A5">
      <w:pPr>
        <w:spacing w:after="7"/>
        <w:ind w:right="922"/>
        <w:jc w:val="both"/>
        <w:rPr>
          <w:rFonts w:eastAsia="Calibri" w:cs="Calibri"/>
          <w:bCs/>
          <w:sz w:val="21"/>
          <w:szCs w:val="21"/>
        </w:rPr>
      </w:pPr>
    </w:p>
    <w:p w14:paraId="1B0ABE74" w14:textId="1202071D" w:rsidR="00A56420" w:rsidRPr="00E75524" w:rsidRDefault="00A56420" w:rsidP="00A53ECD">
      <w:pPr>
        <w:spacing w:after="7"/>
        <w:ind w:left="273" w:firstLine="720"/>
        <w:jc w:val="both"/>
        <w:rPr>
          <w:rFonts w:eastAsia="Calibri" w:cs="Calibri"/>
          <w:bCs/>
          <w:sz w:val="21"/>
          <w:szCs w:val="21"/>
        </w:rPr>
      </w:pPr>
      <w:r w:rsidRPr="00E75524">
        <w:rPr>
          <w:rFonts w:eastAsia="Calibri" w:cs="Calibri"/>
          <w:bCs/>
          <w:sz w:val="21"/>
          <w:szCs w:val="21"/>
        </w:rPr>
        <w:t>Discrezionalità dei processi</w:t>
      </w:r>
    </w:p>
    <w:tbl>
      <w:tblPr>
        <w:tblStyle w:val="TableNormal3"/>
        <w:tblW w:w="929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1"/>
        <w:gridCol w:w="1077"/>
      </w:tblGrid>
      <w:tr w:rsidR="00A56420" w:rsidRPr="00E75524" w14:paraId="3DFF9E67" w14:textId="77777777" w:rsidTr="00A53ECD">
        <w:trPr>
          <w:trHeight w:val="268"/>
        </w:trPr>
        <w:tc>
          <w:tcPr>
            <w:tcW w:w="8221" w:type="dxa"/>
          </w:tcPr>
          <w:p w14:paraId="06392643"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Il processo è del tutto vincolato</w:t>
            </w:r>
          </w:p>
        </w:tc>
        <w:tc>
          <w:tcPr>
            <w:tcW w:w="1077" w:type="dxa"/>
          </w:tcPr>
          <w:p w14:paraId="597D7BB4"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BASSO</w:t>
            </w:r>
          </w:p>
        </w:tc>
      </w:tr>
      <w:tr w:rsidR="00A56420" w:rsidRPr="00E75524" w14:paraId="1C9FAAFF" w14:textId="77777777" w:rsidTr="00A53ECD">
        <w:trPr>
          <w:trHeight w:val="268"/>
        </w:trPr>
        <w:tc>
          <w:tcPr>
            <w:tcW w:w="8221" w:type="dxa"/>
          </w:tcPr>
          <w:p w14:paraId="126CB27B" w14:textId="77777777" w:rsidR="00A56420" w:rsidRPr="00E75524" w:rsidRDefault="00A56420" w:rsidP="00A53ECD">
            <w:pPr>
              <w:spacing w:line="248" w:lineRule="exact"/>
              <w:ind w:left="107"/>
              <w:jc w:val="both"/>
              <w:rPr>
                <w:rFonts w:eastAsia="Calibri" w:cs="Calibri"/>
                <w:bCs/>
                <w:sz w:val="21"/>
                <w:szCs w:val="21"/>
              </w:rPr>
            </w:pPr>
            <w:proofErr w:type="gramStart"/>
            <w:r w:rsidRPr="00E75524">
              <w:rPr>
                <w:rFonts w:eastAsia="Calibri" w:cs="Calibri"/>
                <w:bCs/>
                <w:sz w:val="21"/>
                <w:szCs w:val="21"/>
              </w:rPr>
              <w:t>E’</w:t>
            </w:r>
            <w:proofErr w:type="gramEnd"/>
            <w:r w:rsidRPr="00E75524">
              <w:rPr>
                <w:rFonts w:eastAsia="Calibri" w:cs="Calibri"/>
                <w:bCs/>
                <w:sz w:val="21"/>
                <w:szCs w:val="21"/>
              </w:rPr>
              <w:t xml:space="preserve"> parzialmente vincolato dalla legge e da atti amministrativi (regolamenti, direttive, circolari)</w:t>
            </w:r>
          </w:p>
        </w:tc>
        <w:tc>
          <w:tcPr>
            <w:tcW w:w="1077" w:type="dxa"/>
          </w:tcPr>
          <w:p w14:paraId="6F07E316"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MEDIO</w:t>
            </w:r>
          </w:p>
        </w:tc>
      </w:tr>
      <w:tr w:rsidR="00A56420" w:rsidRPr="00E75524" w14:paraId="46B7EA15" w14:textId="77777777" w:rsidTr="00A53ECD">
        <w:trPr>
          <w:trHeight w:val="268"/>
        </w:trPr>
        <w:tc>
          <w:tcPr>
            <w:tcW w:w="8221" w:type="dxa"/>
          </w:tcPr>
          <w:p w14:paraId="346FB09C" w14:textId="77777777" w:rsidR="00A56420" w:rsidRPr="00E75524" w:rsidRDefault="00A56420" w:rsidP="00A53ECD">
            <w:pPr>
              <w:spacing w:line="248" w:lineRule="exact"/>
              <w:ind w:left="107"/>
              <w:jc w:val="both"/>
              <w:rPr>
                <w:rFonts w:eastAsia="Calibri" w:cs="Calibri"/>
                <w:bCs/>
                <w:sz w:val="21"/>
                <w:szCs w:val="21"/>
              </w:rPr>
            </w:pPr>
            <w:proofErr w:type="gramStart"/>
            <w:r w:rsidRPr="00E75524">
              <w:rPr>
                <w:rFonts w:eastAsia="Calibri" w:cs="Calibri"/>
                <w:bCs/>
                <w:sz w:val="21"/>
                <w:szCs w:val="21"/>
              </w:rPr>
              <w:t>E’</w:t>
            </w:r>
            <w:proofErr w:type="gramEnd"/>
            <w:r w:rsidRPr="00E75524">
              <w:rPr>
                <w:rFonts w:eastAsia="Calibri" w:cs="Calibri"/>
                <w:bCs/>
                <w:sz w:val="21"/>
                <w:szCs w:val="21"/>
              </w:rPr>
              <w:t xml:space="preserve"> altamente discrezionale</w:t>
            </w:r>
          </w:p>
        </w:tc>
        <w:tc>
          <w:tcPr>
            <w:tcW w:w="1077" w:type="dxa"/>
          </w:tcPr>
          <w:p w14:paraId="3BD71E73"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ALTO</w:t>
            </w:r>
          </w:p>
        </w:tc>
      </w:tr>
    </w:tbl>
    <w:p w14:paraId="189C0C56" w14:textId="77777777" w:rsidR="00A56420" w:rsidRPr="00E75524" w:rsidRDefault="00A56420" w:rsidP="00A53ECD">
      <w:pPr>
        <w:spacing w:before="5"/>
        <w:jc w:val="both"/>
        <w:rPr>
          <w:rFonts w:eastAsia="Calibri" w:cs="Calibri"/>
          <w:bCs/>
          <w:sz w:val="21"/>
          <w:szCs w:val="21"/>
          <w:u w:color="000000"/>
        </w:rPr>
      </w:pPr>
    </w:p>
    <w:p w14:paraId="3591F784" w14:textId="77777777" w:rsidR="00A56420" w:rsidRPr="00E75524" w:rsidRDefault="00A56420" w:rsidP="00A53ECD">
      <w:pPr>
        <w:spacing w:after="7"/>
        <w:ind w:left="993"/>
        <w:jc w:val="both"/>
        <w:rPr>
          <w:rFonts w:eastAsia="Calibri" w:cs="Calibri"/>
          <w:bCs/>
          <w:sz w:val="21"/>
          <w:szCs w:val="21"/>
        </w:rPr>
      </w:pPr>
      <w:r w:rsidRPr="00E75524">
        <w:rPr>
          <w:rFonts w:eastAsia="Calibri" w:cs="Calibri"/>
          <w:bCs/>
          <w:sz w:val="21"/>
          <w:szCs w:val="21"/>
        </w:rPr>
        <w:t>Interesse esterno: presenza di interessi, anche economici, per i destinatari del processo</w:t>
      </w:r>
    </w:p>
    <w:tbl>
      <w:tblPr>
        <w:tblStyle w:val="TableNormal3"/>
        <w:tblW w:w="9296"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1"/>
        <w:gridCol w:w="1075"/>
      </w:tblGrid>
      <w:tr w:rsidR="00A56420" w:rsidRPr="00E75524" w14:paraId="6862C62B" w14:textId="77777777" w:rsidTr="00A53ECD">
        <w:trPr>
          <w:trHeight w:val="268"/>
        </w:trPr>
        <w:tc>
          <w:tcPr>
            <w:tcW w:w="8221" w:type="dxa"/>
          </w:tcPr>
          <w:p w14:paraId="3BD1463D"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Il processo ha come destinatario finale un ufficio interno</w:t>
            </w:r>
          </w:p>
        </w:tc>
        <w:tc>
          <w:tcPr>
            <w:tcW w:w="1075" w:type="dxa"/>
          </w:tcPr>
          <w:p w14:paraId="66807058"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BASSO</w:t>
            </w:r>
          </w:p>
        </w:tc>
      </w:tr>
      <w:tr w:rsidR="00A56420" w:rsidRPr="00E75524" w14:paraId="7B114619" w14:textId="77777777" w:rsidTr="00A53ECD">
        <w:trPr>
          <w:trHeight w:val="269"/>
        </w:trPr>
        <w:tc>
          <w:tcPr>
            <w:tcW w:w="8221" w:type="dxa"/>
          </w:tcPr>
          <w:p w14:paraId="30595689" w14:textId="77777777" w:rsidR="00A56420" w:rsidRPr="00E75524" w:rsidRDefault="00A56420" w:rsidP="00A53ECD">
            <w:pPr>
              <w:spacing w:line="249" w:lineRule="exact"/>
              <w:ind w:left="107"/>
              <w:jc w:val="both"/>
              <w:rPr>
                <w:rFonts w:eastAsia="Calibri" w:cs="Calibri"/>
                <w:bCs/>
                <w:sz w:val="21"/>
                <w:szCs w:val="21"/>
              </w:rPr>
            </w:pPr>
            <w:r w:rsidRPr="00E75524">
              <w:rPr>
                <w:rFonts w:eastAsia="Calibri" w:cs="Calibri"/>
                <w:bCs/>
                <w:sz w:val="21"/>
                <w:szCs w:val="21"/>
              </w:rPr>
              <w:t>Comporta l’attribuzione di vantaggi a soggetti esterni, ma di non particolare rilievo economico</w:t>
            </w:r>
          </w:p>
        </w:tc>
        <w:tc>
          <w:tcPr>
            <w:tcW w:w="1075" w:type="dxa"/>
          </w:tcPr>
          <w:p w14:paraId="6E59835C"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MEDIO</w:t>
            </w:r>
          </w:p>
        </w:tc>
      </w:tr>
      <w:tr w:rsidR="00A56420" w:rsidRPr="00E75524" w14:paraId="428D7ACB" w14:textId="77777777" w:rsidTr="00A53ECD">
        <w:trPr>
          <w:trHeight w:val="537"/>
        </w:trPr>
        <w:tc>
          <w:tcPr>
            <w:tcW w:w="8221" w:type="dxa"/>
          </w:tcPr>
          <w:p w14:paraId="60BB19A7" w14:textId="77777777" w:rsidR="00A56420" w:rsidRPr="00E75524" w:rsidRDefault="00A56420" w:rsidP="00A53ECD">
            <w:pPr>
              <w:spacing w:line="265" w:lineRule="exact"/>
              <w:ind w:left="107"/>
              <w:jc w:val="both"/>
              <w:rPr>
                <w:rFonts w:eastAsia="Calibri" w:cs="Calibri"/>
                <w:bCs/>
                <w:sz w:val="21"/>
                <w:szCs w:val="21"/>
              </w:rPr>
            </w:pPr>
            <w:r w:rsidRPr="00E75524">
              <w:rPr>
                <w:rFonts w:eastAsia="Calibri" w:cs="Calibri"/>
                <w:bCs/>
                <w:sz w:val="21"/>
                <w:szCs w:val="21"/>
              </w:rPr>
              <w:t>Il processo è rivolto direttamente ad utenti esterni alla PA e comporta l’attribuzione di considerevoli</w:t>
            </w:r>
          </w:p>
          <w:p w14:paraId="04D3FD27" w14:textId="77777777" w:rsidR="00A56420" w:rsidRPr="00E75524" w:rsidRDefault="00A56420" w:rsidP="00A53ECD">
            <w:pPr>
              <w:spacing w:line="252" w:lineRule="exact"/>
              <w:ind w:left="107"/>
              <w:jc w:val="both"/>
              <w:rPr>
                <w:rFonts w:eastAsia="Calibri" w:cs="Calibri"/>
                <w:bCs/>
                <w:sz w:val="21"/>
                <w:szCs w:val="21"/>
              </w:rPr>
            </w:pPr>
            <w:r w:rsidRPr="00E75524">
              <w:rPr>
                <w:rFonts w:eastAsia="Calibri" w:cs="Calibri"/>
                <w:bCs/>
                <w:sz w:val="21"/>
                <w:szCs w:val="21"/>
              </w:rPr>
              <w:t>vantaggi (es.: affidamento di appalto)</w:t>
            </w:r>
          </w:p>
        </w:tc>
        <w:tc>
          <w:tcPr>
            <w:tcW w:w="1075" w:type="dxa"/>
          </w:tcPr>
          <w:p w14:paraId="53A380B5" w14:textId="77777777" w:rsidR="00A56420" w:rsidRPr="00E75524" w:rsidRDefault="00A56420" w:rsidP="00A53ECD">
            <w:pPr>
              <w:spacing w:before="145"/>
              <w:ind w:left="109"/>
              <w:jc w:val="both"/>
              <w:rPr>
                <w:rFonts w:eastAsia="Calibri" w:cs="Calibri"/>
                <w:bCs/>
                <w:sz w:val="21"/>
                <w:szCs w:val="21"/>
              </w:rPr>
            </w:pPr>
            <w:r w:rsidRPr="00E75524">
              <w:rPr>
                <w:rFonts w:eastAsia="Calibri" w:cs="Calibri"/>
                <w:bCs/>
                <w:sz w:val="21"/>
                <w:szCs w:val="21"/>
              </w:rPr>
              <w:t>ALTO</w:t>
            </w:r>
          </w:p>
        </w:tc>
      </w:tr>
    </w:tbl>
    <w:p w14:paraId="48AC8BD2" w14:textId="77777777" w:rsidR="00A56420" w:rsidRPr="00E75524" w:rsidRDefault="00A56420" w:rsidP="00A53ECD">
      <w:pPr>
        <w:spacing w:before="11"/>
        <w:jc w:val="both"/>
        <w:rPr>
          <w:rFonts w:eastAsia="Calibri" w:cs="Calibri"/>
          <w:bCs/>
          <w:sz w:val="21"/>
          <w:szCs w:val="21"/>
          <w:u w:color="000000"/>
        </w:rPr>
      </w:pPr>
    </w:p>
    <w:p w14:paraId="1E7CDB78" w14:textId="77777777" w:rsidR="00A56420" w:rsidRPr="00E75524" w:rsidRDefault="00A56420" w:rsidP="000C31A5">
      <w:pPr>
        <w:spacing w:after="5"/>
        <w:ind w:left="993" w:right="780"/>
        <w:jc w:val="both"/>
        <w:rPr>
          <w:rFonts w:eastAsia="Calibri" w:cs="Calibri"/>
          <w:bCs/>
          <w:sz w:val="21"/>
          <w:szCs w:val="21"/>
        </w:rPr>
      </w:pPr>
      <w:r w:rsidRPr="00E75524">
        <w:rPr>
          <w:rFonts w:eastAsia="Calibri" w:cs="Calibri"/>
          <w:bCs/>
          <w:sz w:val="21"/>
          <w:szCs w:val="21"/>
        </w:rPr>
        <w:t xml:space="preserve">Controlli (controllo preventivo e successivo di regolarità </w:t>
      </w:r>
      <w:proofErr w:type="spellStart"/>
      <w:proofErr w:type="gramStart"/>
      <w:r w:rsidRPr="00E75524">
        <w:rPr>
          <w:rFonts w:eastAsia="Calibri" w:cs="Calibri"/>
          <w:bCs/>
          <w:sz w:val="21"/>
          <w:szCs w:val="21"/>
        </w:rPr>
        <w:t>amministrativa,controlli</w:t>
      </w:r>
      <w:proofErr w:type="spellEnd"/>
      <w:proofErr w:type="gramEnd"/>
      <w:r w:rsidRPr="00E75524">
        <w:rPr>
          <w:rFonts w:eastAsia="Calibri" w:cs="Calibri"/>
          <w:bCs/>
          <w:sz w:val="21"/>
          <w:szCs w:val="21"/>
        </w:rPr>
        <w:t xml:space="preserve"> a campione </w:t>
      </w:r>
      <w:proofErr w:type="spellStart"/>
      <w:r w:rsidRPr="00E75524">
        <w:rPr>
          <w:rFonts w:eastAsia="Calibri" w:cs="Calibri"/>
          <w:bCs/>
          <w:sz w:val="21"/>
          <w:szCs w:val="21"/>
        </w:rPr>
        <w:t>ecc</w:t>
      </w:r>
      <w:proofErr w:type="spellEnd"/>
      <w:r w:rsidRPr="00E75524">
        <w:rPr>
          <w:rFonts w:eastAsia="Calibri" w:cs="Calibri"/>
          <w:bCs/>
          <w:sz w:val="21"/>
          <w:szCs w:val="21"/>
        </w:rPr>
        <w:t>)</w:t>
      </w:r>
    </w:p>
    <w:tbl>
      <w:tblPr>
        <w:tblStyle w:val="TableNormal3"/>
        <w:tblW w:w="929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1"/>
        <w:gridCol w:w="1077"/>
      </w:tblGrid>
      <w:tr w:rsidR="00A56420" w:rsidRPr="00E75524" w14:paraId="2355553A" w14:textId="77777777" w:rsidTr="00A53ECD">
        <w:trPr>
          <w:trHeight w:val="268"/>
        </w:trPr>
        <w:tc>
          <w:tcPr>
            <w:tcW w:w="8221" w:type="dxa"/>
          </w:tcPr>
          <w:p w14:paraId="36FC5ED0"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Il tipo di controllo applicato costituisce un efficace strumento per neutralizzare il rischio</w:t>
            </w:r>
          </w:p>
        </w:tc>
        <w:tc>
          <w:tcPr>
            <w:tcW w:w="1077" w:type="dxa"/>
          </w:tcPr>
          <w:p w14:paraId="0ACE31B3"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BASSO</w:t>
            </w:r>
          </w:p>
        </w:tc>
      </w:tr>
      <w:tr w:rsidR="00A56420" w:rsidRPr="00E75524" w14:paraId="5B42D9C8" w14:textId="77777777" w:rsidTr="00A53ECD">
        <w:trPr>
          <w:trHeight w:val="268"/>
        </w:trPr>
        <w:tc>
          <w:tcPr>
            <w:tcW w:w="8221" w:type="dxa"/>
          </w:tcPr>
          <w:p w14:paraId="1BB36A90" w14:textId="77777777" w:rsidR="00A56420" w:rsidRPr="00E75524" w:rsidRDefault="00A56420" w:rsidP="00A53ECD">
            <w:pPr>
              <w:spacing w:line="248" w:lineRule="exact"/>
              <w:ind w:left="107"/>
              <w:jc w:val="both"/>
              <w:rPr>
                <w:rFonts w:eastAsia="Calibri" w:cs="Calibri"/>
                <w:bCs/>
                <w:sz w:val="21"/>
                <w:szCs w:val="21"/>
              </w:rPr>
            </w:pPr>
            <w:proofErr w:type="gramStart"/>
            <w:r w:rsidRPr="00E75524">
              <w:rPr>
                <w:rFonts w:eastAsia="Calibri" w:cs="Calibri"/>
                <w:bCs/>
                <w:sz w:val="21"/>
                <w:szCs w:val="21"/>
              </w:rPr>
              <w:t>E’</w:t>
            </w:r>
            <w:proofErr w:type="gramEnd"/>
            <w:r w:rsidRPr="00E75524">
              <w:rPr>
                <w:rFonts w:eastAsia="Calibri" w:cs="Calibri"/>
                <w:bCs/>
                <w:sz w:val="21"/>
                <w:szCs w:val="21"/>
              </w:rPr>
              <w:t xml:space="preserve"> efficace ma in minima parte</w:t>
            </w:r>
          </w:p>
        </w:tc>
        <w:tc>
          <w:tcPr>
            <w:tcW w:w="1077" w:type="dxa"/>
          </w:tcPr>
          <w:p w14:paraId="4D0BDDA5"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MEDIO</w:t>
            </w:r>
          </w:p>
        </w:tc>
      </w:tr>
      <w:tr w:rsidR="00A56420" w:rsidRPr="00E75524" w14:paraId="2FE34366" w14:textId="77777777" w:rsidTr="00A53ECD">
        <w:trPr>
          <w:trHeight w:val="268"/>
        </w:trPr>
        <w:tc>
          <w:tcPr>
            <w:tcW w:w="8221" w:type="dxa"/>
          </w:tcPr>
          <w:p w14:paraId="2EA9BB81"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Non è efficace in quanto il rischio rimane indifferente</w:t>
            </w:r>
          </w:p>
        </w:tc>
        <w:tc>
          <w:tcPr>
            <w:tcW w:w="1077" w:type="dxa"/>
          </w:tcPr>
          <w:p w14:paraId="408B0247"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ALTO</w:t>
            </w:r>
          </w:p>
        </w:tc>
      </w:tr>
    </w:tbl>
    <w:p w14:paraId="3C9D5F38" w14:textId="77777777" w:rsidR="00A56420" w:rsidRPr="00E75524" w:rsidRDefault="00A56420" w:rsidP="00A53ECD">
      <w:pPr>
        <w:spacing w:before="5"/>
        <w:jc w:val="both"/>
        <w:rPr>
          <w:rFonts w:eastAsia="Calibri" w:cs="Calibri"/>
          <w:bCs/>
          <w:sz w:val="21"/>
          <w:szCs w:val="21"/>
          <w:u w:color="000000"/>
        </w:rPr>
      </w:pPr>
    </w:p>
    <w:p w14:paraId="7C5AC5E6" w14:textId="77777777" w:rsidR="00A56420" w:rsidRPr="00E75524" w:rsidRDefault="00A56420" w:rsidP="000C31A5">
      <w:pPr>
        <w:spacing w:after="6"/>
        <w:ind w:left="993" w:right="780"/>
        <w:jc w:val="both"/>
        <w:rPr>
          <w:rFonts w:eastAsia="Calibri" w:cs="Calibri"/>
          <w:bCs/>
          <w:sz w:val="21"/>
          <w:szCs w:val="21"/>
        </w:rPr>
      </w:pPr>
      <w:r w:rsidRPr="00E75524">
        <w:rPr>
          <w:rFonts w:eastAsia="Calibri" w:cs="Calibri"/>
          <w:bCs/>
          <w:sz w:val="21"/>
          <w:szCs w:val="21"/>
        </w:rPr>
        <w:t xml:space="preserve">Efficacia della </w:t>
      </w:r>
      <w:proofErr w:type="spellStart"/>
      <w:proofErr w:type="gramStart"/>
      <w:r w:rsidRPr="00E75524">
        <w:rPr>
          <w:rFonts w:eastAsia="Calibri" w:cs="Calibri"/>
          <w:bCs/>
          <w:sz w:val="21"/>
          <w:szCs w:val="21"/>
        </w:rPr>
        <w:t>trasparenza:tracciabilità</w:t>
      </w:r>
      <w:proofErr w:type="spellEnd"/>
      <w:proofErr w:type="gramEnd"/>
      <w:r w:rsidRPr="00E75524">
        <w:rPr>
          <w:rFonts w:eastAsia="Calibri" w:cs="Calibri"/>
          <w:bCs/>
          <w:sz w:val="21"/>
          <w:szCs w:val="21"/>
        </w:rPr>
        <w:t xml:space="preserve"> del processo; diffusione (interna e/o esterna dei documenti/informazioni</w:t>
      </w:r>
      <w:proofErr w:type="gramStart"/>
      <w:r w:rsidRPr="00E75524">
        <w:rPr>
          <w:rFonts w:eastAsia="Calibri" w:cs="Calibri"/>
          <w:bCs/>
          <w:sz w:val="21"/>
          <w:szCs w:val="21"/>
        </w:rPr>
        <w:t>);completezza</w:t>
      </w:r>
      <w:proofErr w:type="gramEnd"/>
      <w:r w:rsidRPr="00E75524">
        <w:rPr>
          <w:rFonts w:eastAsia="Calibri" w:cs="Calibri"/>
          <w:bCs/>
          <w:sz w:val="21"/>
          <w:szCs w:val="21"/>
        </w:rPr>
        <w:t xml:space="preserve"> e chiarezza dei documenti/informazioni</w:t>
      </w:r>
    </w:p>
    <w:tbl>
      <w:tblPr>
        <w:tblStyle w:val="TableNormal3"/>
        <w:tblW w:w="931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1"/>
        <w:gridCol w:w="1091"/>
      </w:tblGrid>
      <w:tr w:rsidR="00A56420" w:rsidRPr="00E75524" w14:paraId="68675629" w14:textId="77777777" w:rsidTr="00A53ECD">
        <w:trPr>
          <w:trHeight w:val="268"/>
        </w:trPr>
        <w:tc>
          <w:tcPr>
            <w:tcW w:w="8221" w:type="dxa"/>
          </w:tcPr>
          <w:p w14:paraId="41671199"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Le suddette condizioni sono presenti ed attuate in maniera efficace</w:t>
            </w:r>
          </w:p>
        </w:tc>
        <w:tc>
          <w:tcPr>
            <w:tcW w:w="1091" w:type="dxa"/>
          </w:tcPr>
          <w:p w14:paraId="2A1AFCF7" w14:textId="77777777" w:rsidR="00A56420" w:rsidRPr="00E75524" w:rsidRDefault="00A56420" w:rsidP="00A53ECD">
            <w:pPr>
              <w:spacing w:before="13" w:line="235" w:lineRule="exact"/>
              <w:ind w:left="110"/>
              <w:jc w:val="both"/>
              <w:rPr>
                <w:rFonts w:eastAsia="Calibri" w:cs="Calibri"/>
                <w:bCs/>
                <w:sz w:val="21"/>
                <w:szCs w:val="21"/>
              </w:rPr>
            </w:pPr>
            <w:r w:rsidRPr="00E75524">
              <w:rPr>
                <w:rFonts w:eastAsia="Calibri" w:cs="Calibri"/>
                <w:bCs/>
                <w:sz w:val="21"/>
                <w:szCs w:val="21"/>
              </w:rPr>
              <w:t>BASSO</w:t>
            </w:r>
          </w:p>
        </w:tc>
      </w:tr>
      <w:tr w:rsidR="00A56420" w:rsidRPr="00E75524" w14:paraId="2FCD36F0" w14:textId="77777777" w:rsidTr="00A53ECD">
        <w:trPr>
          <w:trHeight w:val="268"/>
        </w:trPr>
        <w:tc>
          <w:tcPr>
            <w:tcW w:w="8221" w:type="dxa"/>
          </w:tcPr>
          <w:p w14:paraId="5F615934"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Sono parzialmente presenti e da migliorare</w:t>
            </w:r>
          </w:p>
        </w:tc>
        <w:tc>
          <w:tcPr>
            <w:tcW w:w="1091" w:type="dxa"/>
          </w:tcPr>
          <w:p w14:paraId="34A818D3" w14:textId="77777777" w:rsidR="00A56420" w:rsidRPr="00E75524" w:rsidRDefault="00A56420" w:rsidP="00A53ECD">
            <w:pPr>
              <w:spacing w:before="13" w:line="235" w:lineRule="exact"/>
              <w:ind w:left="110"/>
              <w:jc w:val="both"/>
              <w:rPr>
                <w:rFonts w:eastAsia="Calibri" w:cs="Calibri"/>
                <w:bCs/>
                <w:sz w:val="21"/>
                <w:szCs w:val="21"/>
              </w:rPr>
            </w:pPr>
            <w:r w:rsidRPr="00E75524">
              <w:rPr>
                <w:rFonts w:eastAsia="Calibri" w:cs="Calibri"/>
                <w:bCs/>
                <w:sz w:val="21"/>
                <w:szCs w:val="21"/>
              </w:rPr>
              <w:t>MEDIO</w:t>
            </w:r>
          </w:p>
        </w:tc>
      </w:tr>
      <w:tr w:rsidR="00A56420" w:rsidRPr="00E75524" w14:paraId="0E8E8F94" w14:textId="77777777" w:rsidTr="00A53ECD">
        <w:trPr>
          <w:trHeight w:val="270"/>
        </w:trPr>
        <w:tc>
          <w:tcPr>
            <w:tcW w:w="8221" w:type="dxa"/>
          </w:tcPr>
          <w:p w14:paraId="6EC15852" w14:textId="77777777" w:rsidR="00A56420" w:rsidRPr="00E75524" w:rsidRDefault="00A56420" w:rsidP="00A53ECD">
            <w:pPr>
              <w:spacing w:line="251" w:lineRule="exact"/>
              <w:ind w:left="107"/>
              <w:jc w:val="both"/>
              <w:rPr>
                <w:rFonts w:eastAsia="Calibri" w:cs="Calibri"/>
                <w:bCs/>
                <w:sz w:val="21"/>
                <w:szCs w:val="21"/>
              </w:rPr>
            </w:pPr>
            <w:r w:rsidRPr="00E75524">
              <w:rPr>
                <w:rFonts w:eastAsia="Calibri" w:cs="Calibri"/>
                <w:bCs/>
                <w:sz w:val="21"/>
                <w:szCs w:val="21"/>
              </w:rPr>
              <w:t>Inadeguate o assenti</w:t>
            </w:r>
          </w:p>
        </w:tc>
        <w:tc>
          <w:tcPr>
            <w:tcW w:w="1091" w:type="dxa"/>
          </w:tcPr>
          <w:p w14:paraId="0A663867" w14:textId="77777777" w:rsidR="00A56420" w:rsidRPr="00E75524" w:rsidRDefault="00A56420" w:rsidP="00A53ECD">
            <w:pPr>
              <w:spacing w:before="13" w:line="237" w:lineRule="exact"/>
              <w:ind w:left="110"/>
              <w:jc w:val="both"/>
              <w:rPr>
                <w:rFonts w:eastAsia="Calibri" w:cs="Calibri"/>
                <w:bCs/>
                <w:sz w:val="21"/>
                <w:szCs w:val="21"/>
              </w:rPr>
            </w:pPr>
            <w:r w:rsidRPr="00E75524">
              <w:rPr>
                <w:rFonts w:eastAsia="Calibri" w:cs="Calibri"/>
                <w:bCs/>
                <w:sz w:val="21"/>
                <w:szCs w:val="21"/>
              </w:rPr>
              <w:t>ALTO</w:t>
            </w:r>
          </w:p>
        </w:tc>
      </w:tr>
    </w:tbl>
    <w:p w14:paraId="0E26D12C" w14:textId="77777777" w:rsidR="00A56420" w:rsidRPr="00E75524" w:rsidRDefault="00A56420" w:rsidP="00A53ECD">
      <w:pPr>
        <w:spacing w:before="5"/>
        <w:jc w:val="both"/>
        <w:rPr>
          <w:rFonts w:eastAsia="Calibri" w:cs="Calibri"/>
          <w:bCs/>
          <w:sz w:val="21"/>
          <w:szCs w:val="21"/>
          <w:u w:color="000000"/>
        </w:rPr>
      </w:pPr>
    </w:p>
    <w:p w14:paraId="02334580" w14:textId="77777777" w:rsidR="00A56420" w:rsidRPr="00E75524" w:rsidRDefault="00A56420" w:rsidP="00A53ECD">
      <w:pPr>
        <w:spacing w:after="5"/>
        <w:ind w:left="993"/>
        <w:jc w:val="both"/>
        <w:rPr>
          <w:rFonts w:eastAsia="Calibri" w:cs="Calibri"/>
          <w:bCs/>
          <w:sz w:val="21"/>
          <w:szCs w:val="21"/>
        </w:rPr>
      </w:pPr>
      <w:r w:rsidRPr="00E75524">
        <w:rPr>
          <w:rFonts w:eastAsia="Calibri" w:cs="Calibri"/>
          <w:bCs/>
          <w:sz w:val="21"/>
          <w:szCs w:val="21"/>
        </w:rPr>
        <w:lastRenderedPageBreak/>
        <w:t>Grado di attuazione delle misure di trattamento</w:t>
      </w:r>
    </w:p>
    <w:tbl>
      <w:tblPr>
        <w:tblStyle w:val="TableNormal3"/>
        <w:tblW w:w="9313"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1"/>
        <w:gridCol w:w="1092"/>
      </w:tblGrid>
      <w:tr w:rsidR="00A56420" w:rsidRPr="00E75524" w14:paraId="346A202E" w14:textId="77777777" w:rsidTr="00A53ECD">
        <w:trPr>
          <w:trHeight w:val="268"/>
        </w:trPr>
        <w:tc>
          <w:tcPr>
            <w:tcW w:w="8221" w:type="dxa"/>
          </w:tcPr>
          <w:p w14:paraId="03FE020A"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Le misure vengono attuate</w:t>
            </w:r>
          </w:p>
        </w:tc>
        <w:tc>
          <w:tcPr>
            <w:tcW w:w="1092" w:type="dxa"/>
          </w:tcPr>
          <w:p w14:paraId="42A0F880" w14:textId="77777777" w:rsidR="00A56420" w:rsidRPr="00E75524" w:rsidRDefault="00A56420" w:rsidP="00A53ECD">
            <w:pPr>
              <w:spacing w:before="13" w:line="235" w:lineRule="exact"/>
              <w:ind w:left="109"/>
              <w:jc w:val="both"/>
              <w:rPr>
                <w:rFonts w:eastAsia="Calibri" w:cs="Calibri"/>
                <w:bCs/>
                <w:sz w:val="21"/>
                <w:szCs w:val="21"/>
              </w:rPr>
            </w:pPr>
            <w:r w:rsidRPr="00E75524">
              <w:rPr>
                <w:rFonts w:eastAsia="Calibri" w:cs="Calibri"/>
                <w:bCs/>
                <w:sz w:val="21"/>
                <w:szCs w:val="21"/>
              </w:rPr>
              <w:t>BASSO</w:t>
            </w:r>
          </w:p>
        </w:tc>
      </w:tr>
      <w:tr w:rsidR="00A56420" w:rsidRPr="00E75524" w14:paraId="00DC432A" w14:textId="77777777" w:rsidTr="00A53ECD">
        <w:trPr>
          <w:trHeight w:val="270"/>
        </w:trPr>
        <w:tc>
          <w:tcPr>
            <w:tcW w:w="8221" w:type="dxa"/>
          </w:tcPr>
          <w:p w14:paraId="66615F86" w14:textId="77777777" w:rsidR="00A56420" w:rsidRPr="00E75524" w:rsidRDefault="00A56420" w:rsidP="00A53ECD">
            <w:pPr>
              <w:spacing w:line="251" w:lineRule="exact"/>
              <w:ind w:left="107"/>
              <w:jc w:val="both"/>
              <w:rPr>
                <w:rFonts w:eastAsia="Calibri" w:cs="Calibri"/>
                <w:bCs/>
                <w:sz w:val="21"/>
                <w:szCs w:val="21"/>
              </w:rPr>
            </w:pPr>
            <w:r w:rsidRPr="00E75524">
              <w:rPr>
                <w:rFonts w:eastAsia="Calibri" w:cs="Calibri"/>
                <w:bCs/>
                <w:sz w:val="21"/>
                <w:szCs w:val="21"/>
              </w:rPr>
              <w:t>Parzialmente attuate</w:t>
            </w:r>
          </w:p>
        </w:tc>
        <w:tc>
          <w:tcPr>
            <w:tcW w:w="1092" w:type="dxa"/>
          </w:tcPr>
          <w:p w14:paraId="409A7737" w14:textId="77777777" w:rsidR="00A56420" w:rsidRPr="00E75524" w:rsidRDefault="00A56420" w:rsidP="00A53ECD">
            <w:pPr>
              <w:spacing w:before="13" w:line="237" w:lineRule="exact"/>
              <w:ind w:left="109"/>
              <w:jc w:val="both"/>
              <w:rPr>
                <w:rFonts w:eastAsia="Calibri" w:cs="Calibri"/>
                <w:bCs/>
                <w:sz w:val="21"/>
                <w:szCs w:val="21"/>
              </w:rPr>
            </w:pPr>
            <w:r w:rsidRPr="00E75524">
              <w:rPr>
                <w:rFonts w:eastAsia="Calibri" w:cs="Calibri"/>
                <w:bCs/>
                <w:sz w:val="21"/>
                <w:szCs w:val="21"/>
              </w:rPr>
              <w:t>MEDIO</w:t>
            </w:r>
          </w:p>
        </w:tc>
      </w:tr>
      <w:tr w:rsidR="00A56420" w:rsidRPr="00E75524" w14:paraId="64F77AD3" w14:textId="77777777" w:rsidTr="00A53ECD">
        <w:trPr>
          <w:trHeight w:val="268"/>
        </w:trPr>
        <w:tc>
          <w:tcPr>
            <w:tcW w:w="8221" w:type="dxa"/>
          </w:tcPr>
          <w:p w14:paraId="1D094EFE"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Non vengono applicate</w:t>
            </w:r>
          </w:p>
        </w:tc>
        <w:tc>
          <w:tcPr>
            <w:tcW w:w="1092" w:type="dxa"/>
          </w:tcPr>
          <w:p w14:paraId="09282A9D"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ALTO</w:t>
            </w:r>
          </w:p>
        </w:tc>
      </w:tr>
    </w:tbl>
    <w:p w14:paraId="052FD22D" w14:textId="77777777" w:rsidR="00A56420" w:rsidRPr="00E75524" w:rsidRDefault="00A56420" w:rsidP="00A53ECD">
      <w:pPr>
        <w:spacing w:before="5"/>
        <w:jc w:val="both"/>
        <w:rPr>
          <w:rFonts w:eastAsia="Calibri" w:cs="Calibri"/>
          <w:bCs/>
          <w:sz w:val="21"/>
          <w:szCs w:val="21"/>
          <w:u w:color="000000"/>
        </w:rPr>
      </w:pPr>
    </w:p>
    <w:p w14:paraId="169EB828" w14:textId="77777777" w:rsidR="00A56420" w:rsidRPr="00E75524" w:rsidRDefault="00A56420" w:rsidP="00A53ECD">
      <w:pPr>
        <w:spacing w:after="7"/>
        <w:ind w:left="993"/>
        <w:jc w:val="both"/>
        <w:rPr>
          <w:rFonts w:eastAsia="Calibri" w:cs="Calibri"/>
          <w:bCs/>
          <w:sz w:val="21"/>
          <w:szCs w:val="21"/>
        </w:rPr>
      </w:pPr>
      <w:r w:rsidRPr="00E75524">
        <w:rPr>
          <w:rFonts w:eastAsia="Calibri" w:cs="Calibri"/>
          <w:bCs/>
          <w:sz w:val="21"/>
          <w:szCs w:val="21"/>
        </w:rPr>
        <w:t>Personale coinvolto nella gestione del processo</w:t>
      </w:r>
    </w:p>
    <w:tbl>
      <w:tblPr>
        <w:tblStyle w:val="TableNormal3"/>
        <w:tblW w:w="929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1"/>
        <w:gridCol w:w="1077"/>
      </w:tblGrid>
      <w:tr w:rsidR="00A56420" w:rsidRPr="00E75524" w14:paraId="5B5164C9" w14:textId="77777777" w:rsidTr="00A53ECD">
        <w:trPr>
          <w:trHeight w:val="269"/>
        </w:trPr>
        <w:tc>
          <w:tcPr>
            <w:tcW w:w="8221" w:type="dxa"/>
          </w:tcPr>
          <w:p w14:paraId="620B85A9" w14:textId="77777777" w:rsidR="00A56420" w:rsidRPr="00E75524" w:rsidRDefault="00A56420" w:rsidP="00A53ECD">
            <w:pPr>
              <w:spacing w:line="249" w:lineRule="exact"/>
              <w:ind w:left="107"/>
              <w:jc w:val="both"/>
              <w:rPr>
                <w:rFonts w:eastAsia="Calibri" w:cs="Calibri"/>
                <w:bCs/>
                <w:sz w:val="21"/>
                <w:szCs w:val="21"/>
              </w:rPr>
            </w:pPr>
            <w:r w:rsidRPr="00E75524">
              <w:rPr>
                <w:rFonts w:eastAsia="Calibri" w:cs="Calibri"/>
                <w:bCs/>
                <w:sz w:val="21"/>
                <w:szCs w:val="21"/>
              </w:rPr>
              <w:t>Il processo è gestito da personale con competenze specifiche e con attribuzione di responsabilità</w:t>
            </w:r>
          </w:p>
        </w:tc>
        <w:tc>
          <w:tcPr>
            <w:tcW w:w="1077" w:type="dxa"/>
          </w:tcPr>
          <w:p w14:paraId="6F1387E6"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BASSO</w:t>
            </w:r>
          </w:p>
        </w:tc>
      </w:tr>
      <w:tr w:rsidR="00A56420" w:rsidRPr="00E75524" w14:paraId="71DB722C" w14:textId="77777777" w:rsidTr="00A53ECD">
        <w:trPr>
          <w:trHeight w:val="268"/>
        </w:trPr>
        <w:tc>
          <w:tcPr>
            <w:tcW w:w="8221" w:type="dxa"/>
          </w:tcPr>
          <w:p w14:paraId="5C9451F4"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Parzialmente presente il personale con competenze specifiche</w:t>
            </w:r>
          </w:p>
        </w:tc>
        <w:tc>
          <w:tcPr>
            <w:tcW w:w="1077" w:type="dxa"/>
          </w:tcPr>
          <w:p w14:paraId="4118DCCD"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MEDIO</w:t>
            </w:r>
          </w:p>
        </w:tc>
      </w:tr>
      <w:tr w:rsidR="00A56420" w:rsidRPr="00E75524" w14:paraId="4FCA7250" w14:textId="77777777" w:rsidTr="00A53ECD">
        <w:trPr>
          <w:trHeight w:val="268"/>
        </w:trPr>
        <w:tc>
          <w:tcPr>
            <w:tcW w:w="8221" w:type="dxa"/>
          </w:tcPr>
          <w:p w14:paraId="0AB7E9B0" w14:textId="77777777" w:rsidR="00A56420" w:rsidRPr="00E75524" w:rsidRDefault="00A56420" w:rsidP="00A53ECD">
            <w:pPr>
              <w:spacing w:line="248" w:lineRule="exact"/>
              <w:ind w:left="107"/>
              <w:jc w:val="both"/>
              <w:rPr>
                <w:rFonts w:eastAsia="Calibri" w:cs="Calibri"/>
                <w:bCs/>
                <w:sz w:val="21"/>
                <w:szCs w:val="21"/>
              </w:rPr>
            </w:pPr>
            <w:r w:rsidRPr="00E75524">
              <w:rPr>
                <w:rFonts w:eastAsia="Calibri" w:cs="Calibri"/>
                <w:bCs/>
                <w:sz w:val="21"/>
                <w:szCs w:val="21"/>
              </w:rPr>
              <w:t>Inadeguato o assente il personale con competenze specifiche</w:t>
            </w:r>
          </w:p>
        </w:tc>
        <w:tc>
          <w:tcPr>
            <w:tcW w:w="1077" w:type="dxa"/>
          </w:tcPr>
          <w:p w14:paraId="4C8CC766" w14:textId="77777777" w:rsidR="00A56420" w:rsidRPr="00E75524" w:rsidRDefault="00A56420" w:rsidP="00A53ECD">
            <w:pPr>
              <w:spacing w:before="11" w:line="237" w:lineRule="exact"/>
              <w:ind w:left="109"/>
              <w:jc w:val="both"/>
              <w:rPr>
                <w:rFonts w:eastAsia="Calibri" w:cs="Calibri"/>
                <w:bCs/>
                <w:sz w:val="21"/>
                <w:szCs w:val="21"/>
              </w:rPr>
            </w:pPr>
            <w:r w:rsidRPr="00E75524">
              <w:rPr>
                <w:rFonts w:eastAsia="Calibri" w:cs="Calibri"/>
                <w:bCs/>
                <w:sz w:val="21"/>
                <w:szCs w:val="21"/>
              </w:rPr>
              <w:t>ALTO</w:t>
            </w:r>
          </w:p>
        </w:tc>
      </w:tr>
    </w:tbl>
    <w:p w14:paraId="2490543C" w14:textId="77777777" w:rsidR="00A56420" w:rsidRPr="00A53ECD" w:rsidRDefault="00A56420" w:rsidP="00A53ECD">
      <w:pPr>
        <w:jc w:val="both"/>
        <w:rPr>
          <w:rFonts w:eastAsia="Calibri" w:cs="Calibri"/>
          <w:bCs/>
          <w:sz w:val="24"/>
          <w:szCs w:val="28"/>
          <w:u w:color="000000"/>
        </w:rPr>
      </w:pPr>
    </w:p>
    <w:bookmarkEnd w:id="56"/>
    <w:p w14:paraId="7ED1F90C" w14:textId="32073AA7" w:rsidR="00447816" w:rsidRPr="00226614" w:rsidRDefault="00447816" w:rsidP="000D4CC3">
      <w:pPr>
        <w:widowControl/>
        <w:autoSpaceDE/>
        <w:autoSpaceDN/>
        <w:spacing w:line="360" w:lineRule="auto"/>
        <w:ind w:left="851" w:right="780"/>
        <w:jc w:val="both"/>
        <w:rPr>
          <w:rFonts w:eastAsia="Times New Roman" w:cs="Arial"/>
          <w:sz w:val="21"/>
          <w:szCs w:val="21"/>
          <w:lang w:eastAsia="en-US" w:bidi="ar-SA"/>
        </w:rPr>
      </w:pPr>
      <w:r w:rsidRPr="00226614">
        <w:rPr>
          <w:rFonts w:eastAsia="Times New Roman" w:cs="Times New Roman"/>
          <w:sz w:val="21"/>
          <w:szCs w:val="21"/>
          <w:lang w:eastAsia="en-US" w:bidi="ar-SA"/>
        </w:rPr>
        <w:t xml:space="preserve">Come noto </w:t>
      </w:r>
      <w:r w:rsidRPr="000D4CC3">
        <w:rPr>
          <w:rFonts w:eastAsia="Times New Roman" w:cs="Times New Roman"/>
          <w:b/>
          <w:bCs/>
          <w:sz w:val="21"/>
          <w:szCs w:val="21"/>
          <w:u w:val="single"/>
          <w:lang w:eastAsia="en-US" w:bidi="ar-SA"/>
        </w:rPr>
        <w:t>l’approccio utilizzabile per stimare l’esposizione delle organizzazioni ai rischi</w:t>
      </w:r>
      <w:r w:rsidRPr="00226614">
        <w:rPr>
          <w:rFonts w:eastAsia="Times New Roman" w:cs="Times New Roman"/>
          <w:sz w:val="21"/>
          <w:szCs w:val="21"/>
          <w:lang w:eastAsia="en-US" w:bidi="ar-SA"/>
        </w:rPr>
        <w:t xml:space="preserve"> può essere qualitativo, quantitativo o misto. Nell’approccio qualitativo, suggerito dall’Autorità </w:t>
      </w:r>
      <w:r w:rsidR="003A2657">
        <w:rPr>
          <w:rFonts w:eastAsia="Times New Roman" w:cs="Times New Roman"/>
          <w:sz w:val="21"/>
          <w:szCs w:val="21"/>
          <w:lang w:eastAsia="en-US" w:bidi="ar-SA"/>
        </w:rPr>
        <w:t>sin dal</w:t>
      </w:r>
      <w:r w:rsidRPr="00226614">
        <w:rPr>
          <w:rFonts w:eastAsia="Times New Roman" w:cs="Times New Roman"/>
          <w:sz w:val="21"/>
          <w:szCs w:val="21"/>
          <w:lang w:eastAsia="en-US" w:bidi="ar-SA"/>
        </w:rPr>
        <w:t xml:space="preserve"> PNA 2019, l’esposizione al rischio è stimata in base a motivate valutazioni, espresse dai soggetti coinvolti nell’analisi, su specifici criteri. Tali valutazioni, anche se supportate da dati, non prevedono (o non dovrebbero prevedere) la loro rappresentazione finale in termini numerici.</w:t>
      </w:r>
      <w:r w:rsidRPr="00226614">
        <w:rPr>
          <w:rFonts w:eastAsia="Times New Roman" w:cs="Arial"/>
          <w:sz w:val="21"/>
          <w:szCs w:val="21"/>
          <w:lang w:eastAsia="en-US" w:bidi="ar-SA"/>
        </w:rPr>
        <w:t xml:space="preserve"> </w:t>
      </w:r>
    </w:p>
    <w:p w14:paraId="584C3FE9" w14:textId="77777777" w:rsidR="00447816" w:rsidRPr="00226614" w:rsidRDefault="00447816" w:rsidP="000C31A5">
      <w:pPr>
        <w:widowControl/>
        <w:tabs>
          <w:tab w:val="left" w:pos="10490"/>
        </w:tabs>
        <w:autoSpaceDE/>
        <w:autoSpaceDN/>
        <w:spacing w:line="360" w:lineRule="auto"/>
        <w:ind w:left="851" w:right="780"/>
        <w:jc w:val="both"/>
        <w:rPr>
          <w:rFonts w:eastAsia="Times New Roman" w:cs="Arial"/>
          <w:sz w:val="21"/>
          <w:szCs w:val="21"/>
          <w:lang w:eastAsia="en-US" w:bidi="ar-SA"/>
        </w:rPr>
      </w:pPr>
      <w:r w:rsidRPr="00226614">
        <w:rPr>
          <w:rFonts w:eastAsia="Times New Roman" w:cs="Arial"/>
          <w:sz w:val="21"/>
          <w:szCs w:val="21"/>
          <w:lang w:eastAsia="en-US" w:bidi="ar-SA"/>
        </w:rPr>
        <w:t xml:space="preserve">L’analisi dei rischi consiste nella valutazione della probabilità che il rischio si realizzi e delle conseguenze che il rischio produce (probabilità ed impatto) per giungere alla determinazione del livello di rischio. </w:t>
      </w:r>
    </w:p>
    <w:p w14:paraId="003CC5E9" w14:textId="486BD938" w:rsidR="00447816" w:rsidRPr="00226614" w:rsidRDefault="00447816" w:rsidP="000C31A5">
      <w:pPr>
        <w:widowControl/>
        <w:tabs>
          <w:tab w:val="left" w:pos="10490"/>
        </w:tabs>
        <w:autoSpaceDE/>
        <w:autoSpaceDN/>
        <w:spacing w:line="360" w:lineRule="auto"/>
        <w:ind w:left="851" w:right="780"/>
        <w:jc w:val="both"/>
        <w:rPr>
          <w:rFonts w:eastAsia="Times New Roman" w:cs="Arial"/>
          <w:sz w:val="21"/>
          <w:szCs w:val="21"/>
          <w:lang w:eastAsia="en-US" w:bidi="ar-SA"/>
        </w:rPr>
      </w:pPr>
      <w:r w:rsidRPr="00226614">
        <w:rPr>
          <w:rFonts w:eastAsia="Times New Roman" w:cs="Arial"/>
          <w:sz w:val="21"/>
          <w:szCs w:val="21"/>
          <w:lang w:eastAsia="en-US" w:bidi="ar-SA"/>
        </w:rPr>
        <w:t xml:space="preserve">Per ciascun rischio catalogato occorre stimare il valore delle probabilità e il valore dell’impatto. I criteri da utilizzare per stimare la probabilità e l’impatto e per valutare il livello di rischio sono indicati nell' Allegato I al P.N.P.C. </w:t>
      </w:r>
    </w:p>
    <w:p w14:paraId="36811D37" w14:textId="77777777" w:rsidR="00447816" w:rsidRPr="00226614" w:rsidRDefault="00447816" w:rsidP="000C31A5">
      <w:pPr>
        <w:widowControl/>
        <w:tabs>
          <w:tab w:val="left" w:pos="10490"/>
        </w:tabs>
        <w:autoSpaceDE/>
        <w:autoSpaceDN/>
        <w:spacing w:line="360" w:lineRule="auto"/>
        <w:ind w:left="851" w:right="780"/>
        <w:jc w:val="both"/>
        <w:rPr>
          <w:rFonts w:eastAsia="Times New Roman" w:cs="Arial"/>
          <w:sz w:val="21"/>
          <w:szCs w:val="21"/>
          <w:lang w:eastAsia="en-US" w:bidi="ar-SA"/>
        </w:rPr>
      </w:pPr>
      <w:r w:rsidRPr="00226614">
        <w:rPr>
          <w:rFonts w:eastAsia="Times New Roman" w:cs="Arial"/>
          <w:sz w:val="21"/>
          <w:szCs w:val="21"/>
          <w:lang w:eastAsia="en-US" w:bidi="ar-SA"/>
        </w:rPr>
        <w:t xml:space="preserve">La stima della probabilità tiene conto, tra gli altri fattori, dei controlli vigenti. A tal fine, per controllo si intende qualunque strumento di controllo utilizzato in Azienda per ridurre la probabilità del rischio (come il controllo preventivo o il controllo di gestione oppure i controlli a campione non previsti dalle norme). La valutazione sull’adeguatezza del controllo va fatta considerando il modo in cui il controllo funziona concretamente. Per la stima della probabilità, quindi, non rileva la previsione dell’esistenza in astratto del controllo, ma la sua efficacia in relazione al rischio considerato. </w:t>
      </w:r>
    </w:p>
    <w:p w14:paraId="124A88D9" w14:textId="77777777" w:rsidR="00447816" w:rsidRPr="00226614" w:rsidRDefault="00447816" w:rsidP="000C31A5">
      <w:pPr>
        <w:widowControl/>
        <w:tabs>
          <w:tab w:val="left" w:pos="10490"/>
        </w:tabs>
        <w:autoSpaceDE/>
        <w:autoSpaceDN/>
        <w:spacing w:line="360" w:lineRule="auto"/>
        <w:ind w:left="851" w:right="780"/>
        <w:jc w:val="both"/>
        <w:rPr>
          <w:rFonts w:eastAsia="Times New Roman" w:cs="Arial"/>
          <w:sz w:val="21"/>
          <w:szCs w:val="21"/>
          <w:lang w:eastAsia="en-US" w:bidi="ar-SA"/>
        </w:rPr>
      </w:pPr>
      <w:r w:rsidRPr="00226614">
        <w:rPr>
          <w:rFonts w:eastAsia="Times New Roman" w:cs="Arial"/>
          <w:sz w:val="21"/>
          <w:szCs w:val="21"/>
          <w:lang w:eastAsia="en-US" w:bidi="ar-SA"/>
        </w:rPr>
        <w:t xml:space="preserve">L’impatto si misura in termini di: impatto economico; impatto organizzativo; impatto reputazionale. </w:t>
      </w:r>
    </w:p>
    <w:p w14:paraId="5070A1BB" w14:textId="77777777" w:rsidR="00447816" w:rsidRPr="00226614" w:rsidRDefault="00447816" w:rsidP="000C31A5">
      <w:pPr>
        <w:widowControl/>
        <w:tabs>
          <w:tab w:val="left" w:pos="10490"/>
        </w:tabs>
        <w:autoSpaceDE/>
        <w:autoSpaceDN/>
        <w:spacing w:line="360" w:lineRule="auto"/>
        <w:ind w:left="851" w:right="780"/>
        <w:jc w:val="both"/>
        <w:rPr>
          <w:rFonts w:eastAsia="Times New Roman" w:cs="Arial"/>
          <w:sz w:val="21"/>
          <w:szCs w:val="21"/>
          <w:lang w:eastAsia="en-US" w:bidi="ar-SA"/>
        </w:rPr>
      </w:pPr>
      <w:r w:rsidRPr="00226614">
        <w:rPr>
          <w:rFonts w:eastAsia="Times New Roman" w:cs="Arial"/>
          <w:sz w:val="21"/>
          <w:szCs w:val="21"/>
          <w:lang w:eastAsia="en-US" w:bidi="ar-SA"/>
        </w:rPr>
        <w:t xml:space="preserve">Il valore della probabilità e il valore dell’impatto debbono essere valutati congiuntamente per ottenere il valore complessivo, che esprime il livello di rischio del processo. </w:t>
      </w:r>
    </w:p>
    <w:p w14:paraId="0BF965EB" w14:textId="2F21F17F" w:rsidR="00447816" w:rsidRPr="00226614" w:rsidRDefault="00447816" w:rsidP="000C31A5">
      <w:pPr>
        <w:widowControl/>
        <w:tabs>
          <w:tab w:val="left" w:pos="10490"/>
        </w:tabs>
        <w:autoSpaceDE/>
        <w:autoSpaceDN/>
        <w:spacing w:line="360" w:lineRule="auto"/>
        <w:ind w:left="851" w:right="780"/>
        <w:jc w:val="both"/>
        <w:rPr>
          <w:rFonts w:eastAsia="Times New Roman" w:cs="Arial"/>
          <w:sz w:val="21"/>
          <w:szCs w:val="21"/>
          <w:lang w:eastAsia="en-US" w:bidi="ar-SA"/>
        </w:rPr>
      </w:pPr>
      <w:r w:rsidRPr="00226614">
        <w:rPr>
          <w:rFonts w:eastAsia="Times New Roman" w:cs="Arial"/>
          <w:sz w:val="21"/>
          <w:szCs w:val="21"/>
          <w:lang w:eastAsia="en-US" w:bidi="ar-SA"/>
        </w:rPr>
        <w:t xml:space="preserve">Nella tabella di sintesi </w:t>
      </w:r>
      <w:r w:rsidR="000D4CC3">
        <w:rPr>
          <w:rFonts w:eastAsia="Times New Roman" w:cs="Arial"/>
          <w:sz w:val="21"/>
          <w:szCs w:val="21"/>
          <w:lang w:eastAsia="en-US" w:bidi="ar-SA"/>
        </w:rPr>
        <w:t>di cui all’all.1</w:t>
      </w:r>
      <w:r w:rsidRPr="00226614">
        <w:rPr>
          <w:rFonts w:eastAsia="Times New Roman" w:cs="Arial"/>
          <w:sz w:val="21"/>
          <w:szCs w:val="21"/>
          <w:lang w:eastAsia="en-US" w:bidi="ar-SA"/>
        </w:rPr>
        <w:t xml:space="preserve"> viene identificato il livello di rischio colorato secondo la sua gravità, come da seguente matrice.</w:t>
      </w:r>
    </w:p>
    <w:p w14:paraId="79C799D2" w14:textId="77777777" w:rsidR="00447816" w:rsidRPr="008A46B8" w:rsidRDefault="00447816" w:rsidP="00447816">
      <w:pPr>
        <w:widowControl/>
        <w:autoSpaceDE/>
        <w:autoSpaceDN/>
        <w:rPr>
          <w:rFonts w:ascii="Arial Narrow" w:eastAsia="Times New Roman" w:hAnsi="Arial Narrow" w:cs="Arial"/>
          <w:sz w:val="24"/>
          <w:szCs w:val="24"/>
          <w:lang w:eastAsia="en-US" w:bidi="ar-SA"/>
        </w:rPr>
      </w:pPr>
    </w:p>
    <w:p w14:paraId="796508FE" w14:textId="77777777" w:rsidR="00447816" w:rsidRPr="008A46B8" w:rsidRDefault="00447816" w:rsidP="00447816">
      <w:pPr>
        <w:widowControl/>
        <w:autoSpaceDE/>
        <w:autoSpaceDN/>
        <w:spacing w:line="276" w:lineRule="auto"/>
        <w:ind w:left="851"/>
        <w:jc w:val="both"/>
        <w:rPr>
          <w:rFonts w:ascii="Arial Narrow" w:eastAsia="Times New Roman" w:hAnsi="Arial Narrow" w:cs="Times New Roman"/>
          <w:sz w:val="24"/>
          <w:szCs w:val="24"/>
          <w:lang w:eastAsia="en-US" w:bidi="ar-SA"/>
        </w:rPr>
      </w:pPr>
      <w:r w:rsidRPr="008A46B8">
        <w:rPr>
          <w:rFonts w:ascii="Arial Narrow" w:eastAsia="Times New Roman" w:hAnsi="Arial Narrow" w:cs="Arial"/>
          <w:noProof/>
          <w:sz w:val="24"/>
          <w:szCs w:val="24"/>
          <w:lang w:bidi="ar-SA"/>
        </w:rPr>
        <w:lastRenderedPageBreak/>
        <w:drawing>
          <wp:inline distT="0" distB="0" distL="0" distR="0" wp14:anchorId="6D1AB0DA" wp14:editId="13000CAD">
            <wp:extent cx="5282363" cy="2106273"/>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5386" cy="2123428"/>
                    </a:xfrm>
                    <a:prstGeom prst="rect">
                      <a:avLst/>
                    </a:prstGeom>
                    <a:noFill/>
                    <a:ln>
                      <a:noFill/>
                    </a:ln>
                  </pic:spPr>
                </pic:pic>
              </a:graphicData>
            </a:graphic>
          </wp:inline>
        </w:drawing>
      </w:r>
    </w:p>
    <w:p w14:paraId="3416F448" w14:textId="77777777" w:rsidR="00447816" w:rsidRPr="008A46B8" w:rsidRDefault="00447816" w:rsidP="000C31A5">
      <w:pPr>
        <w:widowControl/>
        <w:autoSpaceDE/>
        <w:autoSpaceDN/>
        <w:spacing w:line="276" w:lineRule="auto"/>
        <w:ind w:right="780"/>
        <w:rPr>
          <w:rFonts w:ascii="Calibri" w:eastAsia="Times New Roman" w:hAnsi="Calibri" w:cs="Times New Roman"/>
          <w:lang w:eastAsia="en-US" w:bidi="ar-SA"/>
        </w:rPr>
      </w:pPr>
    </w:p>
    <w:p w14:paraId="4217E735" w14:textId="6D80B1C3" w:rsidR="00447816" w:rsidRDefault="00447816" w:rsidP="00E75524">
      <w:pPr>
        <w:widowControl/>
        <w:autoSpaceDE/>
        <w:autoSpaceDN/>
        <w:spacing w:line="360" w:lineRule="auto"/>
        <w:ind w:left="851" w:right="638"/>
        <w:jc w:val="both"/>
        <w:rPr>
          <w:rFonts w:eastAsia="Times New Roman" w:cs="Arial"/>
          <w:sz w:val="21"/>
          <w:szCs w:val="21"/>
          <w:lang w:eastAsia="en-US" w:bidi="ar-SA"/>
        </w:rPr>
      </w:pPr>
      <w:r w:rsidRPr="00226614">
        <w:rPr>
          <w:rFonts w:eastAsia="Times New Roman" w:cs="Arial"/>
          <w:sz w:val="21"/>
          <w:szCs w:val="21"/>
          <w:lang w:eastAsia="en-US" w:bidi="ar-SA"/>
        </w:rPr>
        <w:t xml:space="preserve">Ai fini della valutazione della </w:t>
      </w:r>
      <w:r w:rsidRPr="00226614">
        <w:rPr>
          <w:rFonts w:eastAsia="Times New Roman" w:cs="Arial"/>
          <w:sz w:val="21"/>
          <w:szCs w:val="21"/>
          <w:u w:val="single"/>
          <w:lang w:eastAsia="en-US" w:bidi="ar-SA"/>
        </w:rPr>
        <w:t>probabilità</w:t>
      </w:r>
      <w:r w:rsidRPr="00226614">
        <w:rPr>
          <w:rFonts w:eastAsia="Times New Roman" w:cs="Arial"/>
          <w:sz w:val="21"/>
          <w:szCs w:val="21"/>
          <w:lang w:eastAsia="en-US" w:bidi="ar-SA"/>
        </w:rPr>
        <w:t xml:space="preserve"> sono stati utilizzati degli indicatori di stima del livello di rischio </w:t>
      </w:r>
      <w:r w:rsidR="00A53ECD">
        <w:rPr>
          <w:rFonts w:eastAsia="Times New Roman" w:cs="Arial"/>
          <w:sz w:val="21"/>
          <w:szCs w:val="21"/>
          <w:lang w:eastAsia="en-US" w:bidi="ar-SA"/>
        </w:rPr>
        <w:t>sopra oggetto di disamina</w:t>
      </w:r>
      <w:r w:rsidR="000D4CC3">
        <w:rPr>
          <w:rFonts w:eastAsia="Times New Roman" w:cs="Arial"/>
          <w:sz w:val="21"/>
          <w:szCs w:val="21"/>
          <w:lang w:eastAsia="en-US" w:bidi="ar-SA"/>
        </w:rPr>
        <w:t>.</w:t>
      </w:r>
    </w:p>
    <w:p w14:paraId="7D306B11" w14:textId="18485FE3" w:rsidR="000D4CC3" w:rsidRPr="00226614" w:rsidRDefault="000D4CC3" w:rsidP="00E75524">
      <w:pPr>
        <w:widowControl/>
        <w:autoSpaceDE/>
        <w:autoSpaceDN/>
        <w:spacing w:line="360" w:lineRule="auto"/>
        <w:ind w:left="851" w:right="638"/>
        <w:jc w:val="both"/>
        <w:rPr>
          <w:rFonts w:eastAsia="Times New Roman" w:cs="Arial"/>
          <w:sz w:val="21"/>
          <w:szCs w:val="21"/>
          <w:lang w:eastAsia="en-US" w:bidi="ar-SA"/>
        </w:rPr>
      </w:pPr>
      <w:r>
        <w:rPr>
          <w:rFonts w:eastAsia="Times New Roman" w:cs="Arial"/>
          <w:sz w:val="21"/>
          <w:szCs w:val="21"/>
          <w:lang w:eastAsia="en-US" w:bidi="ar-SA"/>
        </w:rPr>
        <w:t xml:space="preserve">Le indicazioni di cui sopra hanno trovato concreta ed operativa applicazione nel documento di valutazione del rischio in formato </w:t>
      </w:r>
      <w:proofErr w:type="spellStart"/>
      <w:r>
        <w:rPr>
          <w:rFonts w:eastAsia="Times New Roman" w:cs="Arial"/>
          <w:sz w:val="21"/>
          <w:szCs w:val="21"/>
          <w:lang w:eastAsia="en-US" w:bidi="ar-SA"/>
        </w:rPr>
        <w:t>excel</w:t>
      </w:r>
      <w:proofErr w:type="spellEnd"/>
      <w:r>
        <w:rPr>
          <w:rFonts w:eastAsia="Times New Roman" w:cs="Arial"/>
          <w:sz w:val="21"/>
          <w:szCs w:val="21"/>
          <w:lang w:eastAsia="en-US" w:bidi="ar-SA"/>
        </w:rPr>
        <w:t xml:space="preserve"> sub all.1.</w:t>
      </w:r>
    </w:p>
    <w:p w14:paraId="40C94FA9" w14:textId="77777777" w:rsidR="008A46B8" w:rsidRPr="00226614" w:rsidRDefault="008A46B8" w:rsidP="008A46B8">
      <w:pPr>
        <w:widowControl/>
        <w:autoSpaceDE/>
        <w:autoSpaceDN/>
        <w:spacing w:line="276" w:lineRule="auto"/>
        <w:rPr>
          <w:rFonts w:eastAsia="Times New Roman" w:cs="Times New Roman"/>
          <w:vanish/>
          <w:sz w:val="21"/>
          <w:szCs w:val="21"/>
          <w:lang w:eastAsia="en-US" w:bidi="ar-SA"/>
        </w:rPr>
      </w:pPr>
    </w:p>
    <w:p w14:paraId="00D77E7B" w14:textId="3CF9FA5F" w:rsidR="001F0066" w:rsidRPr="002627F4" w:rsidRDefault="00D622B6" w:rsidP="006131E7">
      <w:pPr>
        <w:pStyle w:val="Titolo1"/>
        <w:tabs>
          <w:tab w:val="left" w:pos="1114"/>
        </w:tabs>
        <w:spacing w:line="360" w:lineRule="auto"/>
        <w:ind w:left="812" w:right="724" w:firstLine="0"/>
        <w:jc w:val="both"/>
        <w:rPr>
          <w:smallCaps/>
        </w:rPr>
      </w:pPr>
      <w:bookmarkStart w:id="57" w:name="_Toc220506571"/>
      <w:r>
        <w:t>9.</w:t>
      </w:r>
      <w:r w:rsidR="000D4CC3">
        <w:t>1</w:t>
      </w:r>
      <w:r w:rsidR="005145F0">
        <w:t xml:space="preserve">. </w:t>
      </w:r>
      <w:r w:rsidR="00D70AAE" w:rsidRPr="002627F4">
        <w:rPr>
          <w:smallCaps/>
        </w:rPr>
        <w:t>Relazione adempimento Piano di Monitoraggio 20</w:t>
      </w:r>
      <w:r w:rsidR="00EE2415">
        <w:rPr>
          <w:smallCaps/>
        </w:rPr>
        <w:t>2</w:t>
      </w:r>
      <w:r w:rsidR="003A2657">
        <w:rPr>
          <w:smallCaps/>
        </w:rPr>
        <w:t>4</w:t>
      </w:r>
      <w:r w:rsidR="00D70AAE" w:rsidRPr="002627F4">
        <w:rPr>
          <w:smallCaps/>
        </w:rPr>
        <w:t xml:space="preserve"> e i</w:t>
      </w:r>
      <w:r w:rsidR="00BC42EA" w:rsidRPr="002627F4">
        <w:rPr>
          <w:smallCaps/>
        </w:rPr>
        <w:t>l Piano di Monitoraggio per il 20</w:t>
      </w:r>
      <w:r w:rsidR="00982389" w:rsidRPr="002627F4">
        <w:rPr>
          <w:smallCaps/>
        </w:rPr>
        <w:t>2</w:t>
      </w:r>
      <w:r w:rsidR="003A2657">
        <w:rPr>
          <w:smallCaps/>
        </w:rPr>
        <w:t>5</w:t>
      </w:r>
      <w:bookmarkEnd w:id="57"/>
    </w:p>
    <w:p w14:paraId="59D6C559" w14:textId="5AC29139" w:rsidR="00D70AAE" w:rsidRDefault="00D70AAE" w:rsidP="006131E7">
      <w:pPr>
        <w:pStyle w:val="Corpotesto"/>
        <w:spacing w:line="360" w:lineRule="auto"/>
        <w:ind w:left="812" w:right="724"/>
        <w:jc w:val="both"/>
      </w:pPr>
      <w:r>
        <w:t>Il Piano di Monitoraggio di cui al PTCT 20</w:t>
      </w:r>
      <w:r w:rsidR="00E75524">
        <w:t>2</w:t>
      </w:r>
      <w:r w:rsidR="00334ECA">
        <w:t>5</w:t>
      </w:r>
      <w:r>
        <w:t>-20</w:t>
      </w:r>
      <w:r w:rsidR="00196E05">
        <w:t>2</w:t>
      </w:r>
      <w:r w:rsidR="00334ECA">
        <w:t>7</w:t>
      </w:r>
      <w:r>
        <w:t xml:space="preserve"> è stato correttamente adempiuto e le attività di verifica poste in essere da RPCT sono state debitamente </w:t>
      </w:r>
      <w:r w:rsidR="00E75524">
        <w:t>documentate</w:t>
      </w:r>
      <w:r>
        <w:t xml:space="preserve">. </w:t>
      </w:r>
      <w:r w:rsidRPr="00E75524">
        <w:rPr>
          <w:u w:val="single"/>
        </w:rPr>
        <w:t>Dagli audit eseguiti non sono emerse criticità di rilievo</w:t>
      </w:r>
      <w:r>
        <w:t>.</w:t>
      </w:r>
    </w:p>
    <w:p w14:paraId="1F5DCE36" w14:textId="38029D57" w:rsidR="001F0066" w:rsidRDefault="00EE2012" w:rsidP="006131E7">
      <w:pPr>
        <w:pStyle w:val="Corpotesto"/>
        <w:spacing w:line="360" w:lineRule="auto"/>
        <w:ind w:left="812" w:right="724"/>
        <w:jc w:val="both"/>
      </w:pPr>
      <w:r>
        <w:t>Nel corso del 20</w:t>
      </w:r>
      <w:r w:rsidR="00982389">
        <w:t>2</w:t>
      </w:r>
      <w:r w:rsidR="00334ECA">
        <w:t>6</w:t>
      </w:r>
      <w:r>
        <w:t xml:space="preserve"> l’RPC</w:t>
      </w:r>
      <w:r w:rsidR="00BC42EA">
        <w:t>T</w:t>
      </w:r>
      <w:r>
        <w:t xml:space="preserve">, con il supporto di </w:t>
      </w:r>
      <w:proofErr w:type="spellStart"/>
      <w:r>
        <w:t>OdV</w:t>
      </w:r>
      <w:proofErr w:type="spellEnd"/>
      <w:r>
        <w:t xml:space="preserve"> intende </w:t>
      </w:r>
      <w:r w:rsidR="003A2657">
        <w:t xml:space="preserve">mantenere </w:t>
      </w:r>
      <w:r>
        <w:t>le attività di monitoraggio nelle aree e sui processi di seguito enucleati. Resta salva la facoltà di effettuare ulteriori attività di auditing / verifica che nel corso dell’anno si valutassero opportune.</w:t>
      </w:r>
    </w:p>
    <w:p w14:paraId="6CBCB027" w14:textId="77777777" w:rsidR="001F0066" w:rsidRDefault="001F0066" w:rsidP="002034D7">
      <w:pPr>
        <w:pStyle w:val="Corpotesto"/>
        <w:spacing w:before="7" w:line="360" w:lineRule="auto"/>
        <w:rPr>
          <w:sz w:val="16"/>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2847"/>
        <w:gridCol w:w="1606"/>
        <w:gridCol w:w="2818"/>
      </w:tblGrid>
      <w:tr w:rsidR="001F0066" w14:paraId="6E33ACC1" w14:textId="77777777" w:rsidTr="00196E05">
        <w:trPr>
          <w:trHeight w:val="3645"/>
        </w:trPr>
        <w:tc>
          <w:tcPr>
            <w:tcW w:w="2372" w:type="dxa"/>
          </w:tcPr>
          <w:p w14:paraId="0885FA02" w14:textId="77777777" w:rsidR="001F0066" w:rsidRPr="00196E05" w:rsidRDefault="001F0066" w:rsidP="006131E7">
            <w:pPr>
              <w:pStyle w:val="TableParagraph"/>
              <w:rPr>
                <w:sz w:val="21"/>
                <w:szCs w:val="21"/>
              </w:rPr>
            </w:pPr>
          </w:p>
          <w:p w14:paraId="16D4D4D4" w14:textId="77777777" w:rsidR="001F0066" w:rsidRPr="00196E05" w:rsidRDefault="001F0066" w:rsidP="006131E7">
            <w:pPr>
              <w:pStyle w:val="TableParagraph"/>
              <w:rPr>
                <w:sz w:val="21"/>
                <w:szCs w:val="21"/>
              </w:rPr>
            </w:pPr>
          </w:p>
          <w:p w14:paraId="7DF59069" w14:textId="77777777" w:rsidR="001F0066" w:rsidRPr="00196E05" w:rsidRDefault="001F0066" w:rsidP="006131E7">
            <w:pPr>
              <w:pStyle w:val="TableParagraph"/>
              <w:spacing w:before="2"/>
              <w:rPr>
                <w:sz w:val="21"/>
                <w:szCs w:val="21"/>
              </w:rPr>
            </w:pPr>
          </w:p>
          <w:p w14:paraId="50B20112" w14:textId="77777777" w:rsidR="001F0066" w:rsidRPr="00196E05" w:rsidRDefault="00EE2012" w:rsidP="006131E7">
            <w:pPr>
              <w:pStyle w:val="TableParagraph"/>
              <w:spacing w:before="1"/>
              <w:ind w:left="148" w:right="936"/>
              <w:jc w:val="center"/>
              <w:rPr>
                <w:sz w:val="21"/>
                <w:szCs w:val="21"/>
              </w:rPr>
            </w:pPr>
            <w:r w:rsidRPr="00196E05">
              <w:rPr>
                <w:b/>
                <w:sz w:val="21"/>
                <w:szCs w:val="21"/>
              </w:rPr>
              <w:t>Area A</w:t>
            </w:r>
            <w:r w:rsidRPr="00196E05">
              <w:rPr>
                <w:sz w:val="21"/>
                <w:szCs w:val="21"/>
              </w:rPr>
              <w:t xml:space="preserve"> Assunzione,</w:t>
            </w:r>
          </w:p>
          <w:p w14:paraId="57DFE794" w14:textId="77777777" w:rsidR="001F0066" w:rsidRPr="00196E05" w:rsidRDefault="00196E05" w:rsidP="006131E7">
            <w:pPr>
              <w:pStyle w:val="TableParagraph"/>
              <w:tabs>
                <w:tab w:val="left" w:pos="1952"/>
              </w:tabs>
              <w:spacing w:before="42"/>
              <w:ind w:left="148" w:right="92"/>
              <w:rPr>
                <w:sz w:val="21"/>
                <w:szCs w:val="21"/>
              </w:rPr>
            </w:pPr>
            <w:r>
              <w:rPr>
                <w:sz w:val="21"/>
                <w:szCs w:val="21"/>
              </w:rPr>
              <w:t xml:space="preserve">Progressione </w:t>
            </w:r>
            <w:r w:rsidR="00EE2012" w:rsidRPr="00196E05">
              <w:rPr>
                <w:sz w:val="21"/>
                <w:szCs w:val="21"/>
              </w:rPr>
              <w:t>del Personale</w:t>
            </w:r>
          </w:p>
        </w:tc>
        <w:tc>
          <w:tcPr>
            <w:tcW w:w="2847" w:type="dxa"/>
          </w:tcPr>
          <w:p w14:paraId="43C40304" w14:textId="77777777" w:rsidR="001F0066" w:rsidRPr="00196E05" w:rsidRDefault="00EE2012" w:rsidP="006131E7">
            <w:pPr>
              <w:pStyle w:val="TableParagraph"/>
              <w:numPr>
                <w:ilvl w:val="0"/>
                <w:numId w:val="4"/>
              </w:numPr>
              <w:tabs>
                <w:tab w:val="left" w:pos="723"/>
              </w:tabs>
              <w:ind w:right="120"/>
              <w:rPr>
                <w:sz w:val="21"/>
                <w:szCs w:val="21"/>
              </w:rPr>
            </w:pPr>
            <w:r w:rsidRPr="00196E05">
              <w:rPr>
                <w:sz w:val="21"/>
                <w:szCs w:val="21"/>
              </w:rPr>
              <w:t>GESTIONE SERVIZIO RETRIBUZIONI rev. ASP 27.2.15 approvazione EBS 23.3.2015</w:t>
            </w:r>
          </w:p>
          <w:p w14:paraId="51B479A8" w14:textId="77777777" w:rsidR="001F0066" w:rsidRPr="00196E05" w:rsidRDefault="00EE2012" w:rsidP="006131E7">
            <w:pPr>
              <w:pStyle w:val="TableParagraph"/>
              <w:numPr>
                <w:ilvl w:val="0"/>
                <w:numId w:val="4"/>
              </w:numPr>
              <w:tabs>
                <w:tab w:val="left" w:pos="723"/>
                <w:tab w:val="left" w:pos="1624"/>
                <w:tab w:val="left" w:pos="2373"/>
              </w:tabs>
              <w:spacing w:before="200"/>
              <w:ind w:right="120"/>
              <w:rPr>
                <w:sz w:val="21"/>
                <w:szCs w:val="21"/>
              </w:rPr>
            </w:pPr>
            <w:r w:rsidRPr="00196E05">
              <w:rPr>
                <w:sz w:val="21"/>
                <w:szCs w:val="21"/>
              </w:rPr>
              <w:t>REGOLAMENTO DELLE ASSUNZIONI</w:t>
            </w:r>
            <w:r w:rsidRPr="00196E05">
              <w:rPr>
                <w:sz w:val="21"/>
                <w:szCs w:val="21"/>
              </w:rPr>
              <w:tab/>
            </w:r>
            <w:proofErr w:type="spellStart"/>
            <w:r w:rsidRPr="00196E05">
              <w:rPr>
                <w:sz w:val="21"/>
                <w:szCs w:val="21"/>
              </w:rPr>
              <w:t>rev</w:t>
            </w:r>
            <w:proofErr w:type="spellEnd"/>
            <w:r w:rsidRPr="00196E05">
              <w:rPr>
                <w:sz w:val="21"/>
                <w:szCs w:val="21"/>
              </w:rPr>
              <w:t xml:space="preserve"> ASP</w:t>
            </w:r>
            <w:r w:rsidR="00196E05">
              <w:rPr>
                <w:sz w:val="21"/>
                <w:szCs w:val="21"/>
              </w:rPr>
              <w:t xml:space="preserve"> </w:t>
            </w:r>
            <w:r w:rsidRPr="00196E05">
              <w:rPr>
                <w:spacing w:val="-1"/>
                <w:sz w:val="21"/>
                <w:szCs w:val="21"/>
              </w:rPr>
              <w:t xml:space="preserve">27.2.2015 </w:t>
            </w:r>
            <w:r w:rsidRPr="00196E05">
              <w:rPr>
                <w:sz w:val="21"/>
                <w:szCs w:val="21"/>
              </w:rPr>
              <w:t>approvazione EBS 23.3.2015</w:t>
            </w:r>
          </w:p>
        </w:tc>
        <w:tc>
          <w:tcPr>
            <w:tcW w:w="1606" w:type="dxa"/>
          </w:tcPr>
          <w:p w14:paraId="13AC0DA2" w14:textId="77777777" w:rsidR="001F0066" w:rsidRPr="00196E05" w:rsidRDefault="001F0066" w:rsidP="006131E7">
            <w:pPr>
              <w:pStyle w:val="TableParagraph"/>
              <w:rPr>
                <w:sz w:val="21"/>
                <w:szCs w:val="21"/>
              </w:rPr>
            </w:pPr>
          </w:p>
          <w:p w14:paraId="4A93AD08" w14:textId="77777777" w:rsidR="001F0066" w:rsidRPr="00196E05" w:rsidRDefault="001F0066" w:rsidP="006131E7">
            <w:pPr>
              <w:pStyle w:val="TableParagraph"/>
              <w:rPr>
                <w:sz w:val="21"/>
                <w:szCs w:val="21"/>
              </w:rPr>
            </w:pPr>
          </w:p>
          <w:p w14:paraId="1E61FA0E" w14:textId="77777777" w:rsidR="001F0066" w:rsidRPr="00196E05" w:rsidRDefault="001F0066" w:rsidP="006131E7">
            <w:pPr>
              <w:pStyle w:val="TableParagraph"/>
              <w:rPr>
                <w:sz w:val="21"/>
                <w:szCs w:val="21"/>
              </w:rPr>
            </w:pPr>
          </w:p>
          <w:p w14:paraId="2FC29F03" w14:textId="77777777" w:rsidR="001F0066" w:rsidRPr="00196E05" w:rsidRDefault="00EE2012" w:rsidP="006131E7">
            <w:pPr>
              <w:pStyle w:val="TableParagraph"/>
              <w:spacing w:before="225"/>
              <w:ind w:left="172"/>
              <w:jc w:val="center"/>
              <w:rPr>
                <w:sz w:val="21"/>
                <w:szCs w:val="21"/>
              </w:rPr>
            </w:pPr>
            <w:r w:rsidRPr="00196E05">
              <w:rPr>
                <w:sz w:val="21"/>
                <w:szCs w:val="21"/>
              </w:rPr>
              <w:t>a campione</w:t>
            </w:r>
            <w:r w:rsidR="00196E05" w:rsidRPr="00196E05">
              <w:rPr>
                <w:sz w:val="21"/>
                <w:szCs w:val="21"/>
              </w:rPr>
              <w:t xml:space="preserve"> (2)</w:t>
            </w:r>
          </w:p>
          <w:p w14:paraId="585B0B35" w14:textId="77777777" w:rsidR="001F0066" w:rsidRPr="00196E05" w:rsidRDefault="001F0066" w:rsidP="006131E7">
            <w:pPr>
              <w:pStyle w:val="TableParagraph"/>
              <w:spacing w:before="9"/>
              <w:rPr>
                <w:sz w:val="21"/>
                <w:szCs w:val="21"/>
              </w:rPr>
            </w:pPr>
          </w:p>
          <w:p w14:paraId="37C9D748" w14:textId="77777777" w:rsidR="001F0066" w:rsidRPr="00196E05" w:rsidRDefault="00EE2012" w:rsidP="006131E7">
            <w:pPr>
              <w:pStyle w:val="TableParagraph"/>
              <w:ind w:left="172" w:right="-15"/>
              <w:rPr>
                <w:sz w:val="21"/>
                <w:szCs w:val="21"/>
              </w:rPr>
            </w:pPr>
            <w:r w:rsidRPr="00196E05">
              <w:rPr>
                <w:sz w:val="21"/>
                <w:szCs w:val="21"/>
              </w:rPr>
              <w:t>conformità applicativa - documentale</w:t>
            </w:r>
          </w:p>
        </w:tc>
        <w:tc>
          <w:tcPr>
            <w:tcW w:w="2818" w:type="dxa"/>
          </w:tcPr>
          <w:p w14:paraId="5554B5A1" w14:textId="77777777" w:rsidR="001F0066" w:rsidRPr="00196E05" w:rsidRDefault="001F0066" w:rsidP="006131E7">
            <w:pPr>
              <w:pStyle w:val="TableParagraph"/>
              <w:rPr>
                <w:sz w:val="21"/>
                <w:szCs w:val="21"/>
              </w:rPr>
            </w:pPr>
          </w:p>
          <w:p w14:paraId="2DC8BE7A" w14:textId="77777777" w:rsidR="001F0066" w:rsidRPr="00196E05" w:rsidRDefault="001F0066" w:rsidP="006131E7">
            <w:pPr>
              <w:pStyle w:val="TableParagraph"/>
              <w:rPr>
                <w:sz w:val="21"/>
                <w:szCs w:val="21"/>
              </w:rPr>
            </w:pPr>
          </w:p>
          <w:p w14:paraId="094011C2" w14:textId="77777777" w:rsidR="001F0066" w:rsidRPr="00196E05" w:rsidRDefault="001F0066" w:rsidP="006131E7">
            <w:pPr>
              <w:pStyle w:val="TableParagraph"/>
              <w:rPr>
                <w:sz w:val="21"/>
                <w:szCs w:val="21"/>
              </w:rPr>
            </w:pPr>
          </w:p>
          <w:p w14:paraId="79F6053B" w14:textId="77777777" w:rsidR="001F0066" w:rsidRPr="00196E05" w:rsidRDefault="00EE2012" w:rsidP="006131E7">
            <w:pPr>
              <w:pStyle w:val="TableParagraph"/>
              <w:tabs>
                <w:tab w:val="left" w:pos="1598"/>
                <w:tab w:val="left" w:pos="2479"/>
              </w:tabs>
              <w:spacing w:before="180"/>
              <w:ind w:left="124" w:right="134"/>
              <w:jc w:val="both"/>
              <w:rPr>
                <w:sz w:val="21"/>
                <w:szCs w:val="21"/>
              </w:rPr>
            </w:pPr>
            <w:r w:rsidRPr="00196E05">
              <w:rPr>
                <w:sz w:val="21"/>
                <w:szCs w:val="21"/>
              </w:rPr>
              <w:t>Valutazione</w:t>
            </w:r>
            <w:r w:rsidR="00196E05">
              <w:rPr>
                <w:sz w:val="21"/>
                <w:szCs w:val="21"/>
              </w:rPr>
              <w:t xml:space="preserve"> </w:t>
            </w:r>
            <w:r w:rsidRPr="00196E05">
              <w:rPr>
                <w:sz w:val="21"/>
                <w:szCs w:val="21"/>
              </w:rPr>
              <w:t>di</w:t>
            </w:r>
            <w:r w:rsidR="00196E05">
              <w:rPr>
                <w:sz w:val="21"/>
                <w:szCs w:val="21"/>
              </w:rPr>
              <w:t xml:space="preserve"> conformità della attività alla </w:t>
            </w:r>
            <w:r w:rsidRPr="00196E05">
              <w:rPr>
                <w:spacing w:val="-1"/>
                <w:sz w:val="21"/>
                <w:szCs w:val="21"/>
              </w:rPr>
              <w:t xml:space="preserve">normativa </w:t>
            </w:r>
            <w:r w:rsidRPr="00196E05">
              <w:rPr>
                <w:sz w:val="21"/>
                <w:szCs w:val="21"/>
              </w:rPr>
              <w:t>applicabile e alle norme aziendali</w:t>
            </w:r>
          </w:p>
        </w:tc>
      </w:tr>
      <w:tr w:rsidR="001F0066" w14:paraId="303B403F" w14:textId="77777777" w:rsidTr="00196E05">
        <w:trPr>
          <w:trHeight w:val="2762"/>
        </w:trPr>
        <w:tc>
          <w:tcPr>
            <w:tcW w:w="2372" w:type="dxa"/>
            <w:tcBorders>
              <w:top w:val="nil"/>
            </w:tcBorders>
          </w:tcPr>
          <w:p w14:paraId="4F775FEC" w14:textId="77777777" w:rsidR="001F0066" w:rsidRPr="00196E05" w:rsidRDefault="00EE2012" w:rsidP="006131E7">
            <w:pPr>
              <w:pStyle w:val="TableParagraph"/>
              <w:spacing w:before="226"/>
              <w:ind w:left="148"/>
              <w:jc w:val="center"/>
              <w:rPr>
                <w:b/>
                <w:sz w:val="21"/>
                <w:szCs w:val="21"/>
              </w:rPr>
            </w:pPr>
            <w:r w:rsidRPr="00196E05">
              <w:rPr>
                <w:b/>
                <w:sz w:val="21"/>
                <w:szCs w:val="21"/>
              </w:rPr>
              <w:lastRenderedPageBreak/>
              <w:t>Area B</w:t>
            </w:r>
          </w:p>
          <w:p w14:paraId="31A7CBA9" w14:textId="77777777" w:rsidR="001F0066" w:rsidRPr="00196E05" w:rsidRDefault="001F0066" w:rsidP="006131E7">
            <w:pPr>
              <w:pStyle w:val="TableParagraph"/>
              <w:spacing w:before="8"/>
              <w:rPr>
                <w:sz w:val="21"/>
                <w:szCs w:val="21"/>
              </w:rPr>
            </w:pPr>
          </w:p>
          <w:p w14:paraId="0D3CCD97" w14:textId="77777777" w:rsidR="001F0066" w:rsidRPr="00196E05" w:rsidRDefault="00196E05" w:rsidP="006131E7">
            <w:pPr>
              <w:pStyle w:val="TableParagraph"/>
              <w:tabs>
                <w:tab w:val="left" w:pos="1133"/>
                <w:tab w:val="left" w:pos="2076"/>
                <w:tab w:val="left" w:pos="2140"/>
              </w:tabs>
              <w:ind w:left="148" w:right="92"/>
              <w:rPr>
                <w:sz w:val="21"/>
                <w:szCs w:val="21"/>
              </w:rPr>
            </w:pPr>
            <w:r w:rsidRPr="00196E05">
              <w:rPr>
                <w:sz w:val="21"/>
                <w:szCs w:val="21"/>
              </w:rPr>
              <w:t>A</w:t>
            </w:r>
            <w:r w:rsidR="00EE2012" w:rsidRPr="00196E05">
              <w:rPr>
                <w:sz w:val="21"/>
                <w:szCs w:val="21"/>
              </w:rPr>
              <w:t>ffidamento</w:t>
            </w:r>
            <w:r>
              <w:rPr>
                <w:sz w:val="21"/>
                <w:szCs w:val="21"/>
              </w:rPr>
              <w:t xml:space="preserve"> di lavori, </w:t>
            </w:r>
            <w:r w:rsidR="00EE2012" w:rsidRPr="00196E05">
              <w:rPr>
                <w:sz w:val="21"/>
                <w:szCs w:val="21"/>
              </w:rPr>
              <w:t>servizi</w:t>
            </w:r>
            <w:r>
              <w:rPr>
                <w:sz w:val="21"/>
                <w:szCs w:val="21"/>
              </w:rPr>
              <w:t xml:space="preserve"> </w:t>
            </w:r>
            <w:r w:rsidR="00EE2012" w:rsidRPr="00196E05">
              <w:rPr>
                <w:sz w:val="21"/>
                <w:szCs w:val="21"/>
              </w:rPr>
              <w:t>e forniture, Conferimento</w:t>
            </w:r>
            <w:r>
              <w:rPr>
                <w:sz w:val="21"/>
                <w:szCs w:val="21"/>
              </w:rPr>
              <w:t xml:space="preserve"> </w:t>
            </w:r>
            <w:r w:rsidR="00EE2012" w:rsidRPr="00196E05">
              <w:rPr>
                <w:sz w:val="21"/>
                <w:szCs w:val="21"/>
              </w:rPr>
              <w:t>di</w:t>
            </w:r>
          </w:p>
          <w:p w14:paraId="70A7E05C" w14:textId="77777777" w:rsidR="001F0066" w:rsidRPr="00196E05" w:rsidRDefault="00196E05" w:rsidP="006131E7">
            <w:pPr>
              <w:pStyle w:val="TableParagraph"/>
              <w:tabs>
                <w:tab w:val="left" w:pos="2075"/>
              </w:tabs>
              <w:ind w:left="148"/>
              <w:rPr>
                <w:sz w:val="21"/>
                <w:szCs w:val="21"/>
              </w:rPr>
            </w:pPr>
            <w:r>
              <w:rPr>
                <w:sz w:val="21"/>
                <w:szCs w:val="21"/>
              </w:rPr>
              <w:t xml:space="preserve">Incarichi </w:t>
            </w:r>
            <w:r w:rsidR="00EE2012" w:rsidRPr="00196E05">
              <w:rPr>
                <w:sz w:val="21"/>
                <w:szCs w:val="21"/>
              </w:rPr>
              <w:t>di</w:t>
            </w:r>
          </w:p>
          <w:p w14:paraId="735726B3" w14:textId="77777777" w:rsidR="001F0066" w:rsidRPr="00196E05" w:rsidRDefault="00196E05" w:rsidP="006131E7">
            <w:pPr>
              <w:pStyle w:val="TableParagraph"/>
              <w:tabs>
                <w:tab w:val="left" w:pos="2139"/>
              </w:tabs>
              <w:spacing w:before="38"/>
              <w:ind w:left="148" w:right="94"/>
              <w:rPr>
                <w:sz w:val="21"/>
                <w:szCs w:val="21"/>
              </w:rPr>
            </w:pPr>
            <w:r w:rsidRPr="00196E05">
              <w:rPr>
                <w:sz w:val="21"/>
                <w:szCs w:val="21"/>
              </w:rPr>
              <w:t>C</w:t>
            </w:r>
            <w:r w:rsidR="00EE2012" w:rsidRPr="00196E05">
              <w:rPr>
                <w:sz w:val="21"/>
                <w:szCs w:val="21"/>
              </w:rPr>
              <w:t>ollaborazione</w:t>
            </w:r>
            <w:r>
              <w:rPr>
                <w:sz w:val="21"/>
                <w:szCs w:val="21"/>
              </w:rPr>
              <w:t xml:space="preserve"> </w:t>
            </w:r>
            <w:r w:rsidR="00EE2012" w:rsidRPr="00196E05">
              <w:rPr>
                <w:sz w:val="21"/>
                <w:szCs w:val="21"/>
              </w:rPr>
              <w:t>e consulenza</w:t>
            </w:r>
          </w:p>
        </w:tc>
        <w:tc>
          <w:tcPr>
            <w:tcW w:w="2847" w:type="dxa"/>
            <w:tcBorders>
              <w:top w:val="nil"/>
            </w:tcBorders>
          </w:tcPr>
          <w:p w14:paraId="717495D6" w14:textId="77777777" w:rsidR="001F0066" w:rsidRPr="00196E05" w:rsidRDefault="00EE2012" w:rsidP="006131E7">
            <w:pPr>
              <w:pStyle w:val="TableParagraph"/>
              <w:numPr>
                <w:ilvl w:val="0"/>
                <w:numId w:val="3"/>
              </w:numPr>
              <w:tabs>
                <w:tab w:val="left" w:pos="723"/>
              </w:tabs>
              <w:ind w:right="120"/>
              <w:jc w:val="both"/>
              <w:rPr>
                <w:sz w:val="21"/>
                <w:szCs w:val="21"/>
              </w:rPr>
            </w:pPr>
            <w:r w:rsidRPr="00196E05">
              <w:rPr>
                <w:sz w:val="21"/>
                <w:szCs w:val="21"/>
              </w:rPr>
              <w:t xml:space="preserve">Proc. Controllo Fatturazione </w:t>
            </w:r>
            <w:proofErr w:type="spellStart"/>
            <w:r w:rsidRPr="00196E05">
              <w:rPr>
                <w:sz w:val="21"/>
                <w:szCs w:val="21"/>
              </w:rPr>
              <w:t>rev</w:t>
            </w:r>
            <w:proofErr w:type="spellEnd"/>
            <w:r w:rsidRPr="00196E05">
              <w:rPr>
                <w:sz w:val="21"/>
                <w:szCs w:val="21"/>
              </w:rPr>
              <w:t xml:space="preserve"> 27.2.15</w:t>
            </w:r>
          </w:p>
          <w:p w14:paraId="20A539D7" w14:textId="77777777" w:rsidR="001F0066" w:rsidRPr="00196E05" w:rsidRDefault="00EE2012" w:rsidP="006131E7">
            <w:pPr>
              <w:pStyle w:val="TableParagraph"/>
              <w:numPr>
                <w:ilvl w:val="0"/>
                <w:numId w:val="3"/>
              </w:numPr>
              <w:tabs>
                <w:tab w:val="left" w:pos="723"/>
              </w:tabs>
              <w:spacing w:before="199"/>
              <w:rPr>
                <w:sz w:val="21"/>
                <w:szCs w:val="21"/>
              </w:rPr>
            </w:pPr>
            <w:r w:rsidRPr="00196E05">
              <w:rPr>
                <w:sz w:val="21"/>
                <w:szCs w:val="21"/>
              </w:rPr>
              <w:t>Codice</w:t>
            </w:r>
            <w:r w:rsidRPr="00196E05">
              <w:rPr>
                <w:spacing w:val="-2"/>
                <w:sz w:val="21"/>
                <w:szCs w:val="21"/>
              </w:rPr>
              <w:t xml:space="preserve"> </w:t>
            </w:r>
            <w:r w:rsidRPr="00196E05">
              <w:rPr>
                <w:sz w:val="21"/>
                <w:szCs w:val="21"/>
              </w:rPr>
              <w:t>Etico</w:t>
            </w:r>
          </w:p>
          <w:p w14:paraId="7DA8B3C2" w14:textId="77777777" w:rsidR="001F0066" w:rsidRPr="00196E05" w:rsidRDefault="001F0066" w:rsidP="006131E7">
            <w:pPr>
              <w:pStyle w:val="TableParagraph"/>
              <w:spacing w:before="8"/>
              <w:rPr>
                <w:sz w:val="21"/>
                <w:szCs w:val="21"/>
              </w:rPr>
            </w:pPr>
          </w:p>
          <w:p w14:paraId="4C0524B1" w14:textId="77777777" w:rsidR="001F0066" w:rsidRPr="00196E05" w:rsidRDefault="00EE2012" w:rsidP="006131E7">
            <w:pPr>
              <w:pStyle w:val="TableParagraph"/>
              <w:numPr>
                <w:ilvl w:val="0"/>
                <w:numId w:val="3"/>
              </w:numPr>
              <w:tabs>
                <w:tab w:val="left" w:pos="723"/>
              </w:tabs>
              <w:spacing w:before="1"/>
              <w:ind w:right="118"/>
              <w:jc w:val="both"/>
              <w:rPr>
                <w:sz w:val="21"/>
                <w:szCs w:val="21"/>
              </w:rPr>
            </w:pPr>
            <w:r w:rsidRPr="00196E05">
              <w:rPr>
                <w:sz w:val="21"/>
                <w:szCs w:val="21"/>
              </w:rPr>
              <w:t>Ordine di Servizio Prot.505/14</w:t>
            </w:r>
          </w:p>
        </w:tc>
        <w:tc>
          <w:tcPr>
            <w:tcW w:w="1606" w:type="dxa"/>
            <w:tcBorders>
              <w:top w:val="nil"/>
            </w:tcBorders>
          </w:tcPr>
          <w:p w14:paraId="7C5D8705" w14:textId="77777777" w:rsidR="001F0066" w:rsidRPr="00196E05" w:rsidRDefault="001F0066" w:rsidP="006131E7">
            <w:pPr>
              <w:pStyle w:val="TableParagraph"/>
              <w:rPr>
                <w:sz w:val="21"/>
                <w:szCs w:val="21"/>
              </w:rPr>
            </w:pPr>
          </w:p>
          <w:p w14:paraId="2B11BA29" w14:textId="77777777" w:rsidR="001F0066" w:rsidRPr="00196E05" w:rsidRDefault="001F0066" w:rsidP="006131E7">
            <w:pPr>
              <w:pStyle w:val="TableParagraph"/>
              <w:rPr>
                <w:sz w:val="21"/>
                <w:szCs w:val="21"/>
              </w:rPr>
            </w:pPr>
          </w:p>
          <w:p w14:paraId="621F8DBC" w14:textId="77777777" w:rsidR="001F0066" w:rsidRPr="00196E05" w:rsidRDefault="001F0066" w:rsidP="006131E7">
            <w:pPr>
              <w:pStyle w:val="TableParagraph"/>
              <w:spacing w:before="5"/>
              <w:rPr>
                <w:sz w:val="21"/>
                <w:szCs w:val="21"/>
              </w:rPr>
            </w:pPr>
          </w:p>
          <w:p w14:paraId="6F8D5324" w14:textId="77777777" w:rsidR="001F0066" w:rsidRPr="00196E05" w:rsidRDefault="00EE2012" w:rsidP="006131E7">
            <w:pPr>
              <w:pStyle w:val="TableParagraph"/>
              <w:ind w:left="172"/>
              <w:rPr>
                <w:sz w:val="21"/>
                <w:szCs w:val="21"/>
              </w:rPr>
            </w:pPr>
            <w:r w:rsidRPr="00196E05">
              <w:rPr>
                <w:sz w:val="21"/>
                <w:szCs w:val="21"/>
              </w:rPr>
              <w:t>a campione</w:t>
            </w:r>
          </w:p>
          <w:p w14:paraId="1BBB70DC" w14:textId="77777777" w:rsidR="00196E05" w:rsidRPr="00196E05" w:rsidRDefault="00196E05" w:rsidP="006131E7">
            <w:pPr>
              <w:pStyle w:val="TableParagraph"/>
              <w:ind w:left="172"/>
              <w:jc w:val="center"/>
              <w:rPr>
                <w:sz w:val="21"/>
                <w:szCs w:val="21"/>
              </w:rPr>
            </w:pPr>
            <w:r w:rsidRPr="00196E05">
              <w:rPr>
                <w:sz w:val="21"/>
                <w:szCs w:val="21"/>
              </w:rPr>
              <w:t>(2)</w:t>
            </w:r>
          </w:p>
        </w:tc>
        <w:tc>
          <w:tcPr>
            <w:tcW w:w="2818" w:type="dxa"/>
            <w:tcBorders>
              <w:top w:val="nil"/>
            </w:tcBorders>
          </w:tcPr>
          <w:p w14:paraId="00E5673E" w14:textId="77777777" w:rsidR="001F0066" w:rsidRPr="00196E05" w:rsidRDefault="001F0066" w:rsidP="006131E7">
            <w:pPr>
              <w:pStyle w:val="TableParagraph"/>
              <w:rPr>
                <w:sz w:val="21"/>
                <w:szCs w:val="21"/>
              </w:rPr>
            </w:pPr>
          </w:p>
          <w:p w14:paraId="7BB6554A" w14:textId="77777777" w:rsidR="001F0066" w:rsidRPr="00196E05" w:rsidRDefault="001F0066" w:rsidP="006131E7">
            <w:pPr>
              <w:pStyle w:val="TableParagraph"/>
              <w:spacing w:before="4"/>
              <w:rPr>
                <w:sz w:val="21"/>
                <w:szCs w:val="21"/>
              </w:rPr>
            </w:pPr>
          </w:p>
          <w:p w14:paraId="1CF2F8B0" w14:textId="77777777" w:rsidR="001F0066" w:rsidRPr="00196E05" w:rsidRDefault="00196E05" w:rsidP="006131E7">
            <w:pPr>
              <w:pStyle w:val="TableParagraph"/>
              <w:tabs>
                <w:tab w:val="left" w:pos="1598"/>
                <w:tab w:val="left" w:pos="2479"/>
              </w:tabs>
              <w:ind w:left="124" w:right="134"/>
              <w:jc w:val="both"/>
              <w:rPr>
                <w:sz w:val="21"/>
                <w:szCs w:val="21"/>
              </w:rPr>
            </w:pPr>
            <w:r>
              <w:rPr>
                <w:sz w:val="21"/>
                <w:szCs w:val="21"/>
              </w:rPr>
              <w:t xml:space="preserve">Valutazione </w:t>
            </w:r>
            <w:r w:rsidR="00EE2012" w:rsidRPr="00196E05">
              <w:rPr>
                <w:sz w:val="21"/>
                <w:szCs w:val="21"/>
              </w:rPr>
              <w:t>di</w:t>
            </w:r>
            <w:r>
              <w:rPr>
                <w:sz w:val="21"/>
                <w:szCs w:val="21"/>
              </w:rPr>
              <w:t xml:space="preserve"> conformità della attività alla </w:t>
            </w:r>
            <w:r w:rsidR="00EE2012" w:rsidRPr="00196E05">
              <w:rPr>
                <w:spacing w:val="-1"/>
                <w:sz w:val="21"/>
                <w:szCs w:val="21"/>
              </w:rPr>
              <w:t xml:space="preserve">normativa </w:t>
            </w:r>
            <w:r w:rsidR="00EE2012" w:rsidRPr="00196E05">
              <w:rPr>
                <w:sz w:val="21"/>
                <w:szCs w:val="21"/>
              </w:rPr>
              <w:t>applicabile e alle norme aziendali</w:t>
            </w:r>
          </w:p>
        </w:tc>
      </w:tr>
      <w:tr w:rsidR="006C6404" w14:paraId="5B0450CA" w14:textId="77777777" w:rsidTr="00196E05">
        <w:trPr>
          <w:trHeight w:val="2762"/>
        </w:trPr>
        <w:tc>
          <w:tcPr>
            <w:tcW w:w="2372" w:type="dxa"/>
            <w:tcBorders>
              <w:top w:val="nil"/>
            </w:tcBorders>
          </w:tcPr>
          <w:p w14:paraId="6C1C6F3A" w14:textId="77777777" w:rsidR="006C6404" w:rsidRPr="006C6404" w:rsidRDefault="006C6404" w:rsidP="006131E7">
            <w:pPr>
              <w:pStyle w:val="TableParagraph"/>
              <w:jc w:val="center"/>
              <w:rPr>
                <w:b/>
                <w:sz w:val="21"/>
                <w:szCs w:val="21"/>
              </w:rPr>
            </w:pPr>
            <w:r w:rsidRPr="006C6404">
              <w:rPr>
                <w:b/>
                <w:sz w:val="21"/>
                <w:szCs w:val="21"/>
              </w:rPr>
              <w:t xml:space="preserve">Area </w:t>
            </w:r>
            <w:r>
              <w:rPr>
                <w:b/>
                <w:sz w:val="21"/>
                <w:szCs w:val="21"/>
              </w:rPr>
              <w:t>C</w:t>
            </w:r>
          </w:p>
          <w:p w14:paraId="19E3E2B5" w14:textId="77777777" w:rsidR="006C6404" w:rsidRPr="006C6404" w:rsidRDefault="006C6404" w:rsidP="006131E7">
            <w:pPr>
              <w:pStyle w:val="TableParagraph"/>
              <w:spacing w:before="226"/>
              <w:ind w:left="148"/>
              <w:jc w:val="both"/>
              <w:rPr>
                <w:sz w:val="21"/>
                <w:szCs w:val="21"/>
              </w:rPr>
            </w:pPr>
            <w:r w:rsidRPr="006C6404">
              <w:rPr>
                <w:sz w:val="21"/>
                <w:szCs w:val="21"/>
              </w:rPr>
              <w:t>Negoziazione /stipulazione e/o esecuzione di contratti per la vendita/locazione di beni a soggetti privati</w:t>
            </w:r>
          </w:p>
        </w:tc>
        <w:tc>
          <w:tcPr>
            <w:tcW w:w="2847" w:type="dxa"/>
            <w:tcBorders>
              <w:top w:val="nil"/>
            </w:tcBorders>
          </w:tcPr>
          <w:p w14:paraId="567CFD1D" w14:textId="77777777" w:rsidR="006C6404" w:rsidRPr="006C6404" w:rsidRDefault="006C6404" w:rsidP="006131E7">
            <w:pPr>
              <w:pStyle w:val="TableParagraph"/>
              <w:numPr>
                <w:ilvl w:val="0"/>
                <w:numId w:val="3"/>
              </w:numPr>
              <w:tabs>
                <w:tab w:val="left" w:pos="723"/>
              </w:tabs>
              <w:ind w:right="120"/>
              <w:jc w:val="both"/>
              <w:rPr>
                <w:sz w:val="21"/>
                <w:szCs w:val="21"/>
              </w:rPr>
            </w:pPr>
            <w:r>
              <w:rPr>
                <w:sz w:val="21"/>
                <w:szCs w:val="21"/>
              </w:rPr>
              <w:t>REGOL</w:t>
            </w:r>
            <w:r w:rsidRPr="006C6404">
              <w:rPr>
                <w:sz w:val="21"/>
                <w:szCs w:val="21"/>
              </w:rPr>
              <w:t>AMENTO PER L'ALIENAZ</w:t>
            </w:r>
            <w:r>
              <w:rPr>
                <w:sz w:val="21"/>
                <w:szCs w:val="21"/>
              </w:rPr>
              <w:t>IO NE DEL PATRIMONIO IMMOBILIAR</w:t>
            </w:r>
            <w:r w:rsidRPr="006C6404">
              <w:rPr>
                <w:sz w:val="21"/>
                <w:szCs w:val="21"/>
              </w:rPr>
              <w:t>E NON STRUMENTALE</w:t>
            </w:r>
          </w:p>
          <w:p w14:paraId="140726B1" w14:textId="77777777" w:rsidR="006C6404" w:rsidRPr="00196E05" w:rsidRDefault="006C6404" w:rsidP="006131E7">
            <w:pPr>
              <w:pStyle w:val="TableParagraph"/>
              <w:numPr>
                <w:ilvl w:val="0"/>
                <w:numId w:val="3"/>
              </w:numPr>
              <w:tabs>
                <w:tab w:val="left" w:pos="723"/>
              </w:tabs>
              <w:ind w:right="120"/>
              <w:jc w:val="both"/>
              <w:rPr>
                <w:sz w:val="21"/>
                <w:szCs w:val="21"/>
              </w:rPr>
            </w:pPr>
            <w:r w:rsidRPr="006C6404">
              <w:rPr>
                <w:sz w:val="21"/>
                <w:szCs w:val="21"/>
              </w:rPr>
              <w:t>Formalizzazione determinazione commissione</w:t>
            </w:r>
          </w:p>
        </w:tc>
        <w:tc>
          <w:tcPr>
            <w:tcW w:w="1606" w:type="dxa"/>
            <w:tcBorders>
              <w:top w:val="nil"/>
            </w:tcBorders>
          </w:tcPr>
          <w:p w14:paraId="71641004" w14:textId="77777777" w:rsidR="006C6404" w:rsidRPr="006C6404" w:rsidRDefault="006C6404" w:rsidP="006131E7">
            <w:pPr>
              <w:pStyle w:val="TableParagraph"/>
              <w:rPr>
                <w:sz w:val="21"/>
                <w:szCs w:val="21"/>
              </w:rPr>
            </w:pPr>
            <w:r w:rsidRPr="006C6404">
              <w:rPr>
                <w:sz w:val="21"/>
                <w:szCs w:val="21"/>
              </w:rPr>
              <w:t>a campione</w:t>
            </w:r>
          </w:p>
          <w:p w14:paraId="26C760BE" w14:textId="77777777" w:rsidR="006C6404" w:rsidRPr="00196E05" w:rsidRDefault="006C6404" w:rsidP="006131E7">
            <w:pPr>
              <w:pStyle w:val="TableParagraph"/>
              <w:jc w:val="center"/>
              <w:rPr>
                <w:sz w:val="21"/>
                <w:szCs w:val="21"/>
              </w:rPr>
            </w:pPr>
            <w:r w:rsidRPr="006C6404">
              <w:rPr>
                <w:sz w:val="21"/>
                <w:szCs w:val="21"/>
              </w:rPr>
              <w:t>(2)</w:t>
            </w:r>
          </w:p>
        </w:tc>
        <w:tc>
          <w:tcPr>
            <w:tcW w:w="2818" w:type="dxa"/>
            <w:tcBorders>
              <w:top w:val="nil"/>
            </w:tcBorders>
          </w:tcPr>
          <w:p w14:paraId="49D71318" w14:textId="77777777" w:rsidR="006C6404" w:rsidRPr="00196E05" w:rsidRDefault="006C6404" w:rsidP="006131E7">
            <w:pPr>
              <w:pStyle w:val="TableParagraph"/>
              <w:rPr>
                <w:sz w:val="21"/>
                <w:szCs w:val="21"/>
              </w:rPr>
            </w:pPr>
          </w:p>
        </w:tc>
      </w:tr>
      <w:tr w:rsidR="001F0066" w14:paraId="068814CE" w14:textId="77777777">
        <w:trPr>
          <w:trHeight w:val="2294"/>
        </w:trPr>
        <w:tc>
          <w:tcPr>
            <w:tcW w:w="2372" w:type="dxa"/>
          </w:tcPr>
          <w:p w14:paraId="4F9C43C0" w14:textId="77777777" w:rsidR="001F0066" w:rsidRPr="00196E05" w:rsidRDefault="001F0066" w:rsidP="006131E7">
            <w:pPr>
              <w:pStyle w:val="TableParagraph"/>
              <w:rPr>
                <w:sz w:val="21"/>
                <w:szCs w:val="21"/>
              </w:rPr>
            </w:pPr>
          </w:p>
          <w:p w14:paraId="38E00BF2" w14:textId="77777777" w:rsidR="001F0066" w:rsidRPr="00196E05" w:rsidRDefault="001F0066" w:rsidP="006131E7">
            <w:pPr>
              <w:pStyle w:val="TableParagraph"/>
              <w:spacing w:before="10"/>
              <w:rPr>
                <w:sz w:val="21"/>
                <w:szCs w:val="21"/>
              </w:rPr>
            </w:pPr>
          </w:p>
          <w:p w14:paraId="06370BAC" w14:textId="77777777" w:rsidR="001F0066" w:rsidRPr="00196E05" w:rsidRDefault="00EE2012" w:rsidP="006131E7">
            <w:pPr>
              <w:pStyle w:val="TableParagraph"/>
              <w:ind w:left="148"/>
              <w:jc w:val="center"/>
              <w:rPr>
                <w:b/>
                <w:sz w:val="21"/>
                <w:szCs w:val="21"/>
              </w:rPr>
            </w:pPr>
            <w:r w:rsidRPr="00196E05">
              <w:rPr>
                <w:b/>
                <w:sz w:val="21"/>
                <w:szCs w:val="21"/>
              </w:rPr>
              <w:t>Area</w:t>
            </w:r>
            <w:r w:rsidRPr="00196E05">
              <w:rPr>
                <w:b/>
                <w:spacing w:val="71"/>
                <w:sz w:val="21"/>
                <w:szCs w:val="21"/>
              </w:rPr>
              <w:t xml:space="preserve"> </w:t>
            </w:r>
            <w:r w:rsidRPr="00196E05">
              <w:rPr>
                <w:b/>
                <w:sz w:val="21"/>
                <w:szCs w:val="21"/>
              </w:rPr>
              <w:t>E</w:t>
            </w:r>
          </w:p>
          <w:p w14:paraId="08C78746" w14:textId="77777777" w:rsidR="001F0066" w:rsidRPr="00196E05" w:rsidRDefault="001F0066" w:rsidP="006131E7">
            <w:pPr>
              <w:pStyle w:val="TableParagraph"/>
              <w:spacing w:before="8"/>
              <w:rPr>
                <w:sz w:val="21"/>
                <w:szCs w:val="21"/>
              </w:rPr>
            </w:pPr>
          </w:p>
          <w:p w14:paraId="699D4E56" w14:textId="77777777" w:rsidR="001F0066" w:rsidRPr="00196E05" w:rsidRDefault="00EE2012" w:rsidP="006131E7">
            <w:pPr>
              <w:pStyle w:val="TableParagraph"/>
              <w:ind w:left="148" w:right="92"/>
              <w:jc w:val="both"/>
              <w:rPr>
                <w:sz w:val="21"/>
                <w:szCs w:val="21"/>
              </w:rPr>
            </w:pPr>
            <w:r w:rsidRPr="00196E05">
              <w:rPr>
                <w:sz w:val="21"/>
                <w:szCs w:val="21"/>
              </w:rPr>
              <w:t>Rapporti con la PA e Flussi Finanziari (socio</w:t>
            </w:r>
            <w:r w:rsidRPr="00196E05">
              <w:rPr>
                <w:spacing w:val="-6"/>
                <w:sz w:val="21"/>
                <w:szCs w:val="21"/>
              </w:rPr>
              <w:t xml:space="preserve"> </w:t>
            </w:r>
            <w:r w:rsidRPr="00196E05">
              <w:rPr>
                <w:sz w:val="21"/>
                <w:szCs w:val="21"/>
              </w:rPr>
              <w:t>controllante)</w:t>
            </w:r>
          </w:p>
        </w:tc>
        <w:tc>
          <w:tcPr>
            <w:tcW w:w="2847" w:type="dxa"/>
          </w:tcPr>
          <w:p w14:paraId="52D32523" w14:textId="77777777" w:rsidR="001F0066" w:rsidRPr="00196E05" w:rsidRDefault="00EE2012" w:rsidP="006131E7">
            <w:pPr>
              <w:pStyle w:val="TableParagraph"/>
              <w:numPr>
                <w:ilvl w:val="0"/>
                <w:numId w:val="2"/>
              </w:numPr>
              <w:tabs>
                <w:tab w:val="left" w:pos="425"/>
              </w:tabs>
              <w:spacing w:before="62"/>
              <w:ind w:right="120"/>
              <w:jc w:val="both"/>
              <w:rPr>
                <w:sz w:val="21"/>
                <w:szCs w:val="21"/>
              </w:rPr>
            </w:pPr>
            <w:r w:rsidRPr="00196E05">
              <w:rPr>
                <w:sz w:val="21"/>
                <w:szCs w:val="21"/>
              </w:rPr>
              <w:t xml:space="preserve">Proc controllo e fatturazione </w:t>
            </w:r>
            <w:proofErr w:type="spellStart"/>
            <w:r w:rsidRPr="00196E05">
              <w:rPr>
                <w:sz w:val="21"/>
                <w:szCs w:val="21"/>
              </w:rPr>
              <w:t>rev</w:t>
            </w:r>
            <w:proofErr w:type="spellEnd"/>
            <w:r w:rsidRPr="00196E05">
              <w:rPr>
                <w:sz w:val="21"/>
                <w:szCs w:val="21"/>
              </w:rPr>
              <w:t xml:space="preserve"> 27.2.15</w:t>
            </w:r>
          </w:p>
          <w:p w14:paraId="09449F23" w14:textId="77777777" w:rsidR="001F0066" w:rsidRPr="00196E05" w:rsidRDefault="00EE2012" w:rsidP="006131E7">
            <w:pPr>
              <w:pStyle w:val="TableParagraph"/>
              <w:numPr>
                <w:ilvl w:val="0"/>
                <w:numId w:val="2"/>
              </w:numPr>
              <w:tabs>
                <w:tab w:val="left" w:pos="425"/>
              </w:tabs>
              <w:spacing w:before="199"/>
              <w:ind w:right="121"/>
              <w:jc w:val="both"/>
              <w:rPr>
                <w:sz w:val="21"/>
                <w:szCs w:val="21"/>
              </w:rPr>
            </w:pPr>
            <w:r w:rsidRPr="00196E05">
              <w:rPr>
                <w:sz w:val="21"/>
                <w:szCs w:val="21"/>
              </w:rPr>
              <w:t>procedura attività propedeutica red. Bilancio</w:t>
            </w:r>
          </w:p>
        </w:tc>
        <w:tc>
          <w:tcPr>
            <w:tcW w:w="1606" w:type="dxa"/>
          </w:tcPr>
          <w:p w14:paraId="2899B904" w14:textId="77777777" w:rsidR="001F0066" w:rsidRPr="00196E05" w:rsidRDefault="001F0066" w:rsidP="006131E7">
            <w:pPr>
              <w:pStyle w:val="TableParagraph"/>
              <w:spacing w:before="2"/>
              <w:rPr>
                <w:sz w:val="21"/>
                <w:szCs w:val="21"/>
              </w:rPr>
            </w:pPr>
          </w:p>
          <w:p w14:paraId="2C5B83E1" w14:textId="77777777" w:rsidR="001F0066" w:rsidRPr="00196E05" w:rsidRDefault="00EE2012" w:rsidP="006131E7">
            <w:pPr>
              <w:pStyle w:val="TableParagraph"/>
              <w:ind w:left="172"/>
              <w:rPr>
                <w:sz w:val="21"/>
                <w:szCs w:val="21"/>
              </w:rPr>
            </w:pPr>
            <w:r w:rsidRPr="00196E05">
              <w:rPr>
                <w:sz w:val="21"/>
                <w:szCs w:val="21"/>
              </w:rPr>
              <w:t>A campione</w:t>
            </w:r>
          </w:p>
          <w:p w14:paraId="4DDF15C5" w14:textId="77777777" w:rsidR="001F0066" w:rsidRPr="00196E05" w:rsidRDefault="00196E05" w:rsidP="006131E7">
            <w:pPr>
              <w:pStyle w:val="TableParagraph"/>
              <w:spacing w:before="8"/>
              <w:jc w:val="center"/>
              <w:rPr>
                <w:sz w:val="21"/>
                <w:szCs w:val="21"/>
              </w:rPr>
            </w:pPr>
            <w:r w:rsidRPr="00196E05">
              <w:rPr>
                <w:sz w:val="21"/>
                <w:szCs w:val="21"/>
              </w:rPr>
              <w:t>(</w:t>
            </w:r>
            <w:r w:rsidR="006C6404">
              <w:rPr>
                <w:sz w:val="21"/>
                <w:szCs w:val="21"/>
              </w:rPr>
              <w:t>1</w:t>
            </w:r>
            <w:r w:rsidRPr="00196E05">
              <w:rPr>
                <w:sz w:val="21"/>
                <w:szCs w:val="21"/>
              </w:rPr>
              <w:t>)</w:t>
            </w:r>
          </w:p>
          <w:p w14:paraId="025307E7" w14:textId="77777777" w:rsidR="001F0066" w:rsidRPr="00196E05" w:rsidRDefault="00EE2012" w:rsidP="006131E7">
            <w:pPr>
              <w:pStyle w:val="TableParagraph"/>
              <w:spacing w:before="1"/>
              <w:ind w:left="172" w:right="-15"/>
              <w:rPr>
                <w:sz w:val="21"/>
                <w:szCs w:val="21"/>
              </w:rPr>
            </w:pPr>
            <w:r w:rsidRPr="00196E05">
              <w:rPr>
                <w:sz w:val="21"/>
                <w:szCs w:val="21"/>
              </w:rPr>
              <w:t>conformità applicativa - documentale</w:t>
            </w:r>
          </w:p>
        </w:tc>
        <w:tc>
          <w:tcPr>
            <w:tcW w:w="2818" w:type="dxa"/>
          </w:tcPr>
          <w:p w14:paraId="4662DA85" w14:textId="77777777" w:rsidR="001F0066" w:rsidRPr="00196E05" w:rsidRDefault="001F0066" w:rsidP="006131E7">
            <w:pPr>
              <w:pStyle w:val="TableParagraph"/>
              <w:spacing w:before="6"/>
              <w:rPr>
                <w:sz w:val="21"/>
                <w:szCs w:val="21"/>
              </w:rPr>
            </w:pPr>
          </w:p>
          <w:p w14:paraId="59660399" w14:textId="77777777" w:rsidR="001F0066" w:rsidRPr="00196E05" w:rsidRDefault="00EE2012" w:rsidP="006131E7">
            <w:pPr>
              <w:pStyle w:val="TableParagraph"/>
              <w:tabs>
                <w:tab w:val="left" w:pos="2479"/>
              </w:tabs>
              <w:ind w:left="124"/>
              <w:rPr>
                <w:sz w:val="21"/>
                <w:szCs w:val="21"/>
              </w:rPr>
            </w:pPr>
            <w:r w:rsidRPr="00196E05">
              <w:rPr>
                <w:sz w:val="21"/>
                <w:szCs w:val="21"/>
              </w:rPr>
              <w:t>Valutazione</w:t>
            </w:r>
            <w:r w:rsidR="00196E05">
              <w:rPr>
                <w:sz w:val="21"/>
                <w:szCs w:val="21"/>
              </w:rPr>
              <w:t xml:space="preserve"> </w:t>
            </w:r>
            <w:r w:rsidRPr="00196E05">
              <w:rPr>
                <w:sz w:val="21"/>
                <w:szCs w:val="21"/>
              </w:rPr>
              <w:t>di</w:t>
            </w:r>
          </w:p>
          <w:p w14:paraId="39A4E8E9" w14:textId="77777777" w:rsidR="001F0066" w:rsidRPr="00196E05" w:rsidRDefault="00196E05" w:rsidP="006131E7">
            <w:pPr>
              <w:pStyle w:val="TableParagraph"/>
              <w:tabs>
                <w:tab w:val="left" w:pos="2301"/>
              </w:tabs>
              <w:spacing w:before="37"/>
              <w:ind w:left="124" w:right="136"/>
              <w:jc w:val="both"/>
              <w:rPr>
                <w:sz w:val="21"/>
                <w:szCs w:val="21"/>
              </w:rPr>
            </w:pPr>
            <w:r w:rsidRPr="00196E05">
              <w:rPr>
                <w:sz w:val="21"/>
                <w:szCs w:val="21"/>
              </w:rPr>
              <w:t>C</w:t>
            </w:r>
            <w:r w:rsidR="00EE2012" w:rsidRPr="00196E05">
              <w:rPr>
                <w:sz w:val="21"/>
                <w:szCs w:val="21"/>
              </w:rPr>
              <w:t>onformità</w:t>
            </w:r>
            <w:r>
              <w:rPr>
                <w:sz w:val="21"/>
                <w:szCs w:val="21"/>
              </w:rPr>
              <w:t xml:space="preserve"> </w:t>
            </w:r>
            <w:r w:rsidR="00EE2012" w:rsidRPr="00196E05">
              <w:rPr>
                <w:sz w:val="21"/>
                <w:szCs w:val="21"/>
              </w:rPr>
              <w:t>alla normativa applicabile e alle norme</w:t>
            </w:r>
            <w:r w:rsidR="00EE2012" w:rsidRPr="00196E05">
              <w:rPr>
                <w:spacing w:val="-2"/>
                <w:sz w:val="21"/>
                <w:szCs w:val="21"/>
              </w:rPr>
              <w:t xml:space="preserve"> </w:t>
            </w:r>
            <w:r w:rsidR="00EE2012" w:rsidRPr="00196E05">
              <w:rPr>
                <w:sz w:val="21"/>
                <w:szCs w:val="21"/>
              </w:rPr>
              <w:t>aziendali</w:t>
            </w:r>
          </w:p>
        </w:tc>
      </w:tr>
    </w:tbl>
    <w:p w14:paraId="52DA1F31" w14:textId="0230FEC7" w:rsidR="00D158AC" w:rsidRDefault="00D158AC" w:rsidP="00D158AC">
      <w:pPr>
        <w:shd w:val="clear" w:color="auto" w:fill="FFFFFF"/>
        <w:spacing w:line="360" w:lineRule="auto"/>
        <w:ind w:left="851"/>
        <w:jc w:val="both"/>
        <w:rPr>
          <w:b/>
          <w:bCs/>
          <w:smallCaps/>
          <w:sz w:val="21"/>
          <w:szCs w:val="21"/>
        </w:rPr>
      </w:pPr>
    </w:p>
    <w:p w14:paraId="2CAAC3C1" w14:textId="0DF2EB63" w:rsidR="00011581" w:rsidRPr="00D622B6" w:rsidRDefault="00D622B6" w:rsidP="00D622B6">
      <w:pPr>
        <w:pStyle w:val="Titolo1"/>
        <w:spacing w:line="360" w:lineRule="auto"/>
        <w:rPr>
          <w:smallCaps/>
        </w:rPr>
      </w:pPr>
      <w:bookmarkStart w:id="58" w:name="_Toc220506572"/>
      <w:r>
        <w:rPr>
          <w:smallCaps/>
        </w:rPr>
        <w:t xml:space="preserve">10. </w:t>
      </w:r>
      <w:r w:rsidR="00E75524" w:rsidRPr="00D622B6">
        <w:rPr>
          <w:smallCaps/>
        </w:rPr>
        <w:t>Misure Obbligatorie</w:t>
      </w:r>
      <w:bookmarkEnd w:id="58"/>
    </w:p>
    <w:p w14:paraId="73206C51" w14:textId="65F2DA55" w:rsidR="00011581" w:rsidRPr="00011581" w:rsidRDefault="00011581" w:rsidP="006131E7">
      <w:pPr>
        <w:shd w:val="clear" w:color="auto" w:fill="FFFFFF"/>
        <w:spacing w:line="360" w:lineRule="auto"/>
        <w:ind w:left="851" w:right="724"/>
        <w:jc w:val="both"/>
        <w:rPr>
          <w:sz w:val="21"/>
          <w:szCs w:val="21"/>
        </w:rPr>
      </w:pPr>
      <w:r w:rsidRPr="00011581">
        <w:rPr>
          <w:sz w:val="21"/>
          <w:szCs w:val="21"/>
        </w:rPr>
        <w:t>Come noto, alcune delle misure individuate dal legislatore risultano obbligatorie. Si tratta di misure</w:t>
      </w:r>
      <w:r w:rsidR="006131E7">
        <w:rPr>
          <w:sz w:val="21"/>
          <w:szCs w:val="21"/>
        </w:rPr>
        <w:t xml:space="preserve"> -di seguito esaminate-</w:t>
      </w:r>
      <w:r w:rsidRPr="00011581">
        <w:rPr>
          <w:sz w:val="21"/>
          <w:szCs w:val="21"/>
        </w:rPr>
        <w:t xml:space="preserve"> che, per la loro natura e per il loro carattere trasversale, sono in grado di per sé, indipendentemente dal processo sul quale incidono, di ridurre efficacemente il rischio di corruzione. </w:t>
      </w:r>
    </w:p>
    <w:p w14:paraId="07FEAAC0" w14:textId="77777777" w:rsidR="00CF0CC5" w:rsidRPr="00011581" w:rsidRDefault="00CF0CC5" w:rsidP="00011581">
      <w:pPr>
        <w:shd w:val="clear" w:color="auto" w:fill="FFFFFF"/>
        <w:spacing w:line="360" w:lineRule="auto"/>
        <w:ind w:left="851"/>
        <w:jc w:val="both"/>
        <w:rPr>
          <w:smallCaps/>
          <w:sz w:val="21"/>
          <w:szCs w:val="21"/>
        </w:rPr>
      </w:pPr>
    </w:p>
    <w:p w14:paraId="60CB9F70" w14:textId="1A862C63" w:rsidR="00D158AC" w:rsidRPr="00D158AC" w:rsidRDefault="006131E7" w:rsidP="006131E7">
      <w:pPr>
        <w:pStyle w:val="Titolo1"/>
        <w:spacing w:line="360" w:lineRule="auto"/>
        <w:rPr>
          <w:smallCaps/>
        </w:rPr>
      </w:pPr>
      <w:bookmarkStart w:id="59" w:name="_Toc220506573"/>
      <w:r>
        <w:rPr>
          <w:smallCaps/>
        </w:rPr>
        <w:t>10.1</w:t>
      </w:r>
      <w:r w:rsidR="00D158AC" w:rsidRPr="00D158AC">
        <w:rPr>
          <w:smallCaps/>
        </w:rPr>
        <w:t xml:space="preserve"> “Incompatibilità successiva” (</w:t>
      </w:r>
      <w:proofErr w:type="spellStart"/>
      <w:r w:rsidR="00D158AC" w:rsidRPr="00D158AC">
        <w:rPr>
          <w:i/>
          <w:smallCaps/>
        </w:rPr>
        <w:t>pantouflage</w:t>
      </w:r>
      <w:proofErr w:type="spellEnd"/>
      <w:r w:rsidR="00D158AC" w:rsidRPr="00D158AC">
        <w:rPr>
          <w:smallCaps/>
        </w:rPr>
        <w:t>)</w:t>
      </w:r>
      <w:bookmarkEnd w:id="59"/>
    </w:p>
    <w:p w14:paraId="48E12087" w14:textId="2F9E2D43" w:rsidR="00B77541" w:rsidRPr="002C73BF" w:rsidRDefault="00B77541" w:rsidP="006131E7">
      <w:pPr>
        <w:shd w:val="clear" w:color="auto" w:fill="FFFFFF"/>
        <w:spacing w:line="360" w:lineRule="auto"/>
        <w:ind w:left="851" w:right="780"/>
        <w:jc w:val="both"/>
        <w:rPr>
          <w:bCs/>
          <w:sz w:val="21"/>
          <w:szCs w:val="21"/>
        </w:rPr>
      </w:pPr>
      <w:r w:rsidRPr="002C73BF">
        <w:rPr>
          <w:bCs/>
          <w:sz w:val="21"/>
          <w:szCs w:val="21"/>
        </w:rPr>
        <w:t>Particolare attenzione è stata volta dal PNA 20</w:t>
      </w:r>
      <w:r w:rsidR="000D4CC3">
        <w:rPr>
          <w:bCs/>
          <w:sz w:val="21"/>
          <w:szCs w:val="21"/>
        </w:rPr>
        <w:t>22</w:t>
      </w:r>
      <w:r w:rsidRPr="002C73BF">
        <w:rPr>
          <w:bCs/>
          <w:sz w:val="21"/>
          <w:szCs w:val="21"/>
        </w:rPr>
        <w:t xml:space="preserve"> alla cd. “</w:t>
      </w:r>
      <w:r w:rsidRPr="006131E7">
        <w:rPr>
          <w:bCs/>
          <w:i/>
          <w:iCs/>
          <w:sz w:val="21"/>
          <w:szCs w:val="21"/>
        </w:rPr>
        <w:t xml:space="preserve">incompatibilità </w:t>
      </w:r>
      <w:proofErr w:type="gramStart"/>
      <w:r w:rsidRPr="006131E7">
        <w:rPr>
          <w:bCs/>
          <w:i/>
          <w:iCs/>
          <w:sz w:val="21"/>
          <w:szCs w:val="21"/>
        </w:rPr>
        <w:t>successiva</w:t>
      </w:r>
      <w:r w:rsidRPr="002C73BF">
        <w:rPr>
          <w:bCs/>
          <w:sz w:val="21"/>
          <w:szCs w:val="21"/>
        </w:rPr>
        <w:t>“ (</w:t>
      </w:r>
      <w:proofErr w:type="spellStart"/>
      <w:proofErr w:type="gramEnd"/>
      <w:r w:rsidRPr="002C73BF">
        <w:rPr>
          <w:bCs/>
          <w:i/>
          <w:sz w:val="21"/>
          <w:szCs w:val="21"/>
        </w:rPr>
        <w:t>pantouflage</w:t>
      </w:r>
      <w:proofErr w:type="spellEnd"/>
      <w:r w:rsidRPr="002C73BF">
        <w:rPr>
          <w:bCs/>
          <w:sz w:val="21"/>
          <w:szCs w:val="21"/>
        </w:rPr>
        <w:t>).</w:t>
      </w:r>
    </w:p>
    <w:p w14:paraId="7FA9C5F6" w14:textId="77777777" w:rsidR="00B77541" w:rsidRPr="002C73BF" w:rsidRDefault="00B77541" w:rsidP="002034D7">
      <w:pPr>
        <w:shd w:val="clear" w:color="auto" w:fill="FFFFFF"/>
        <w:spacing w:line="360" w:lineRule="auto"/>
        <w:ind w:left="851" w:right="780"/>
        <w:jc w:val="both"/>
        <w:rPr>
          <w:bCs/>
          <w:sz w:val="21"/>
          <w:szCs w:val="21"/>
        </w:rPr>
      </w:pPr>
      <w:r w:rsidRPr="002C73BF">
        <w:rPr>
          <w:bCs/>
          <w:sz w:val="21"/>
          <w:szCs w:val="21"/>
        </w:rPr>
        <w:t xml:space="preserve">Evidenziato che il </w:t>
      </w:r>
      <w:proofErr w:type="spellStart"/>
      <w:r w:rsidRPr="002C73BF">
        <w:rPr>
          <w:bCs/>
          <w:sz w:val="21"/>
          <w:szCs w:val="21"/>
        </w:rPr>
        <w:t>D.Lgs.</w:t>
      </w:r>
      <w:proofErr w:type="spellEnd"/>
      <w:r w:rsidRPr="002C73BF">
        <w:rPr>
          <w:bCs/>
          <w:sz w:val="21"/>
          <w:szCs w:val="21"/>
        </w:rPr>
        <w:t xml:space="preserve"> n. 165/2001 si applica ai soli dipendenti delle pubbliche amministrazioni così come individuate all’art. 1, co. 2 del Decreto stesso (tra cui non sono ricomprese le società a partecipazione pubblica), la sfera dei soggetti assimilabili ai dipendenti pubblici e quindi anche l’ambito di applicazione soggettiva del divieto di </w:t>
      </w:r>
      <w:proofErr w:type="spellStart"/>
      <w:r w:rsidRPr="002C73BF">
        <w:rPr>
          <w:bCs/>
          <w:i/>
          <w:sz w:val="21"/>
          <w:szCs w:val="21"/>
        </w:rPr>
        <w:t>pantouflage</w:t>
      </w:r>
      <w:proofErr w:type="spellEnd"/>
      <w:r w:rsidRPr="002C73BF">
        <w:rPr>
          <w:bCs/>
          <w:sz w:val="21"/>
          <w:szCs w:val="21"/>
        </w:rPr>
        <w:t xml:space="preserve"> è stato ampliato dall’art. 21 del </w:t>
      </w:r>
      <w:proofErr w:type="spellStart"/>
      <w:r w:rsidRPr="002C73BF">
        <w:rPr>
          <w:bCs/>
          <w:sz w:val="21"/>
          <w:szCs w:val="21"/>
        </w:rPr>
        <w:t>D.Lgs.</w:t>
      </w:r>
      <w:proofErr w:type="spellEnd"/>
      <w:r w:rsidRPr="002C73BF">
        <w:rPr>
          <w:bCs/>
          <w:sz w:val="21"/>
          <w:szCs w:val="21"/>
        </w:rPr>
        <w:t xml:space="preserve"> n. 39/2013 “</w:t>
      </w:r>
      <w:r w:rsidRPr="002C73BF">
        <w:rPr>
          <w:bCs/>
          <w:i/>
          <w:sz w:val="21"/>
          <w:szCs w:val="21"/>
        </w:rPr>
        <w:t xml:space="preserve">Disposizioni in materia di inconferibilità e incompatibilità di incarichi presso le pubbliche amministrazioni e presso gli </w:t>
      </w:r>
      <w:r w:rsidRPr="002C73BF">
        <w:rPr>
          <w:bCs/>
          <w:i/>
          <w:sz w:val="21"/>
          <w:szCs w:val="21"/>
        </w:rPr>
        <w:lastRenderedPageBreak/>
        <w:t>enti privati in controllo pubblico</w:t>
      </w:r>
      <w:r w:rsidRPr="002C73BF">
        <w:rPr>
          <w:bCs/>
          <w:sz w:val="21"/>
          <w:szCs w:val="21"/>
        </w:rPr>
        <w:t>”, il quale prevede espressamente che “</w:t>
      </w:r>
      <w:r w:rsidRPr="002C73BF">
        <w:rPr>
          <w:bCs/>
          <w:i/>
          <w:sz w:val="21"/>
          <w:szCs w:val="21"/>
        </w:rPr>
        <w:t>Ai soli fini dell'applicazione dei divieti di cui al comma 16-ter dell'articolo 53 del decreto legislativo 30 marzo 2001, n. 165, e successive modificazioni, sono considerati dipendenti delle pubbliche amministrazioni anche i soggetti titolari di uno degli incarichi di cui al presente decreto, ivi compresi i soggetti esterni con i quali l'amministrazione, l'ente pubblico o l'ente di diritto privato in controllo pubblico stabilisce un rapporto di lavoro, subordinato o autonomo. Tali divieti si applicano a far data dalla cessazione dell'incarico</w:t>
      </w:r>
      <w:r w:rsidRPr="002C73BF">
        <w:rPr>
          <w:bCs/>
          <w:sz w:val="21"/>
          <w:szCs w:val="21"/>
        </w:rPr>
        <w:t xml:space="preserve">”. In coerenza con quanto stabilito dal succitato art.21 del </w:t>
      </w:r>
      <w:proofErr w:type="spellStart"/>
      <w:r w:rsidRPr="002C73BF">
        <w:rPr>
          <w:bCs/>
          <w:sz w:val="21"/>
          <w:szCs w:val="21"/>
        </w:rPr>
        <w:t>D.Lgs.</w:t>
      </w:r>
      <w:proofErr w:type="spellEnd"/>
      <w:r w:rsidRPr="002C73BF">
        <w:rPr>
          <w:bCs/>
          <w:sz w:val="21"/>
          <w:szCs w:val="21"/>
        </w:rPr>
        <w:t xml:space="preserve"> n.39/2013, l’ambito applicativo della disposizione, è stato altresì oggetto di intervento espresso dell’ANAC con Delibera n. 1074 del 21 novembre 2018 (pubblicata nella Gazzetta Ufficiale Serie Generale n. 296 del 21 dicembre 2018), avente ad oggetto “</w:t>
      </w:r>
      <w:r w:rsidRPr="002C73BF">
        <w:rPr>
          <w:bCs/>
          <w:i/>
          <w:sz w:val="21"/>
          <w:szCs w:val="21"/>
        </w:rPr>
        <w:t>Approvazione definitiva dell’Aggiornamento 2018 al Piano Nazionale Anticorruzione</w:t>
      </w:r>
      <w:r w:rsidRPr="002C73BF">
        <w:rPr>
          <w:bCs/>
          <w:sz w:val="21"/>
          <w:szCs w:val="21"/>
        </w:rPr>
        <w:t xml:space="preserve">”.  In particolare ANAC ha specificato, al punto 9.2 della predetta delibera che i soggetti privati in controllo pubblico sono certamente sottoposti al divieto di </w:t>
      </w:r>
      <w:proofErr w:type="spellStart"/>
      <w:r w:rsidRPr="002C73BF">
        <w:rPr>
          <w:bCs/>
          <w:sz w:val="21"/>
          <w:szCs w:val="21"/>
        </w:rPr>
        <w:t>pantouflage</w:t>
      </w:r>
      <w:proofErr w:type="spellEnd"/>
      <w:r w:rsidRPr="002C73BF">
        <w:rPr>
          <w:bCs/>
          <w:sz w:val="21"/>
          <w:szCs w:val="21"/>
        </w:rPr>
        <w:t>, tenuto conto di quanto disposto dall’art. 21 del medesimo decreto, gli amministratori e i direttori generali, in quanto muniti di poteri gestionali, mentre “</w:t>
      </w:r>
      <w:r w:rsidRPr="002C73BF">
        <w:rPr>
          <w:bCs/>
          <w:i/>
          <w:sz w:val="21"/>
          <w:szCs w:val="21"/>
        </w:rPr>
        <w:t>non sembra invece consentita un’estensione del divieto ai dipendenti, attesa la formulazione letterale del citato articolo 21 che fa riferimento solo ai titolari di uno degli incarichi considerati dal D.lgs. n. 39/2013. Ad analoghe conclusioni si giunge per i dirigenti ordinari</w:t>
      </w:r>
      <w:r w:rsidRPr="002C73BF">
        <w:rPr>
          <w:bCs/>
          <w:sz w:val="21"/>
          <w:szCs w:val="21"/>
        </w:rPr>
        <w:t xml:space="preserve">”. </w:t>
      </w:r>
    </w:p>
    <w:p w14:paraId="2F1C764A" w14:textId="30AEE6C4" w:rsidR="002C73BF" w:rsidRPr="002C73BF" w:rsidRDefault="00B77541" w:rsidP="002034D7">
      <w:pPr>
        <w:shd w:val="clear" w:color="auto" w:fill="FFFFFF"/>
        <w:spacing w:line="360" w:lineRule="auto"/>
        <w:ind w:left="851" w:right="780"/>
        <w:jc w:val="both"/>
        <w:rPr>
          <w:bCs/>
          <w:sz w:val="21"/>
          <w:szCs w:val="21"/>
        </w:rPr>
      </w:pPr>
      <w:r w:rsidRPr="002C73BF">
        <w:rPr>
          <w:bCs/>
          <w:sz w:val="21"/>
          <w:szCs w:val="21"/>
        </w:rPr>
        <w:t xml:space="preserve">Il personale dipendente di </w:t>
      </w:r>
      <w:r w:rsidR="002C73BF" w:rsidRPr="002C73BF">
        <w:rPr>
          <w:bCs/>
          <w:sz w:val="21"/>
          <w:szCs w:val="21"/>
        </w:rPr>
        <w:t>EBS</w:t>
      </w:r>
      <w:r w:rsidRPr="002C73BF">
        <w:rPr>
          <w:bCs/>
          <w:sz w:val="21"/>
          <w:szCs w:val="21"/>
        </w:rPr>
        <w:t xml:space="preserve"> non risulta destinatario di autonomi poteri di amministrazione e di gestione, neppure in forza di specifiche deleghe con cui vengano attribuiti loro specifici poteri autoritativi o negoziali (dovendosi intendere, in tal senso, che tali poteri decisionali e gestionali siano conferiti statutariamente, a mezzo di procura notarile o di apposita delibera del consiglio di Amministrazione).</w:t>
      </w:r>
    </w:p>
    <w:p w14:paraId="081181FD" w14:textId="50F65F33" w:rsidR="00B77541" w:rsidRDefault="00B77541" w:rsidP="002627F4">
      <w:pPr>
        <w:shd w:val="clear" w:color="auto" w:fill="FFFFFF"/>
        <w:spacing w:line="360" w:lineRule="auto"/>
        <w:ind w:left="851" w:right="780"/>
        <w:jc w:val="both"/>
        <w:rPr>
          <w:bCs/>
          <w:sz w:val="21"/>
          <w:szCs w:val="21"/>
        </w:rPr>
      </w:pPr>
      <w:r w:rsidRPr="002C73BF">
        <w:rPr>
          <w:bCs/>
          <w:sz w:val="21"/>
          <w:szCs w:val="21"/>
        </w:rPr>
        <w:t xml:space="preserve">Sulla base di tali indicazioni normative e regolamentari – ai fini della corretta interpretazione e della chiara determinazione dell’ambito di applicazione </w:t>
      </w:r>
      <w:r w:rsidR="002C73BF" w:rsidRPr="002C73BF">
        <w:rPr>
          <w:bCs/>
          <w:sz w:val="21"/>
          <w:szCs w:val="21"/>
        </w:rPr>
        <w:t>a EBS e ASP</w:t>
      </w:r>
      <w:r w:rsidRPr="002C73BF">
        <w:rPr>
          <w:bCs/>
          <w:sz w:val="21"/>
          <w:szCs w:val="21"/>
        </w:rPr>
        <w:t xml:space="preserve"> della norma di cui trattasi –si ritiene che i divieti di cui al comma 16-ter dell'articolo 53 del decreto legislativo 30 marzo 2001, n. 165, e successive modificazioni, si applic</w:t>
      </w:r>
      <w:r w:rsidR="002C73BF" w:rsidRPr="002C73BF">
        <w:rPr>
          <w:bCs/>
          <w:sz w:val="21"/>
          <w:szCs w:val="21"/>
        </w:rPr>
        <w:t>hino</w:t>
      </w:r>
      <w:r w:rsidRPr="002C73BF">
        <w:rPr>
          <w:bCs/>
          <w:sz w:val="21"/>
          <w:szCs w:val="21"/>
        </w:rPr>
        <w:t xml:space="preserve"> </w:t>
      </w:r>
      <w:r w:rsidR="002C73BF" w:rsidRPr="002C73BF">
        <w:rPr>
          <w:bCs/>
          <w:sz w:val="21"/>
          <w:szCs w:val="21"/>
        </w:rPr>
        <w:t xml:space="preserve">al solo A.U. e al Commissario Straordinario. </w:t>
      </w:r>
      <w:r w:rsidRPr="002C73BF">
        <w:rPr>
          <w:bCs/>
          <w:sz w:val="21"/>
          <w:szCs w:val="21"/>
        </w:rPr>
        <w:t xml:space="preserve">Quale misura volta a implementare l’attuazione dell’istituto, RPCT invierà una comunicazione </w:t>
      </w:r>
      <w:r w:rsidR="002C73BF" w:rsidRPr="002C73BF">
        <w:rPr>
          <w:bCs/>
          <w:sz w:val="21"/>
          <w:szCs w:val="21"/>
        </w:rPr>
        <w:t>a detti soggetti</w:t>
      </w:r>
      <w:r w:rsidRPr="002C73BF">
        <w:rPr>
          <w:bCs/>
          <w:sz w:val="21"/>
          <w:szCs w:val="21"/>
        </w:rPr>
        <w:t xml:space="preserve"> al fine di ricordare i contenuti della normativa.</w:t>
      </w:r>
    </w:p>
    <w:p w14:paraId="16AF118E" w14:textId="4557B76B" w:rsidR="002627F4" w:rsidRDefault="002627F4" w:rsidP="002627F4">
      <w:pPr>
        <w:shd w:val="clear" w:color="auto" w:fill="FFFFFF"/>
        <w:spacing w:line="360" w:lineRule="auto"/>
        <w:ind w:left="851" w:right="780"/>
        <w:jc w:val="both"/>
        <w:rPr>
          <w:bCs/>
          <w:sz w:val="21"/>
          <w:szCs w:val="21"/>
        </w:rPr>
      </w:pPr>
    </w:p>
    <w:p w14:paraId="4AB05F1D" w14:textId="5D8BED7D" w:rsidR="00DE5B12" w:rsidRPr="00DE5B12" w:rsidRDefault="00DE5B12" w:rsidP="00DE5B12">
      <w:pPr>
        <w:pStyle w:val="Titolo1"/>
        <w:spacing w:line="360" w:lineRule="auto"/>
        <w:rPr>
          <w:smallCaps/>
        </w:rPr>
      </w:pPr>
      <w:bookmarkStart w:id="60" w:name="_Toc31024101"/>
      <w:bookmarkStart w:id="61" w:name="_Toc66838515"/>
      <w:bookmarkStart w:id="62" w:name="_Toc220506574"/>
      <w:r w:rsidRPr="00DE5B12">
        <w:rPr>
          <w:smallCaps/>
        </w:rPr>
        <w:t>10.2</w:t>
      </w:r>
      <w:r w:rsidRPr="00DE5B12">
        <w:rPr>
          <w:smallCaps/>
        </w:rPr>
        <w:tab/>
        <w:t>Rotazione degli incarichi (ordinaria e straordinaria)</w:t>
      </w:r>
      <w:bookmarkEnd w:id="60"/>
      <w:bookmarkEnd w:id="61"/>
      <w:bookmarkEnd w:id="62"/>
    </w:p>
    <w:p w14:paraId="6B3DABEE"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La legge n. 190/2012 al comma 5, lett. b), nonché al comma 10, lett. b), prevede, quale ulteriore misura preventiva del rischio corruzione, la rotazione degli incarichi negli uffici preposti allo svolgimento delle attività nel cui ambito è più elevato il rischio che siano commessi reati di corruzione; i sistemi di rotazione del personale addetto alle aree a rischio </w:t>
      </w:r>
      <w:r w:rsidRPr="00DE5B12">
        <w:rPr>
          <w:bCs/>
          <w:sz w:val="21"/>
          <w:szCs w:val="21"/>
        </w:rPr>
        <w:lastRenderedPageBreak/>
        <w:t>devono comunque garantire continuità e coerenza agli indirizzi già intrapresi e le necessarie competenze delle strutture.</w:t>
      </w:r>
    </w:p>
    <w:p w14:paraId="37F9C5D8" w14:textId="05D4A0F8"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In considerazione del particolare organigramma della Società, della dotazione organica, la rotazione del personale è di difficile attuabilità e viene, eventualmente, attuata in </w:t>
      </w:r>
      <w:proofErr w:type="spellStart"/>
      <w:r w:rsidR="00713592">
        <w:rPr>
          <w:bCs/>
          <w:sz w:val="21"/>
          <w:szCs w:val="21"/>
        </w:rPr>
        <w:t>Ebs</w:t>
      </w:r>
      <w:proofErr w:type="spellEnd"/>
      <w:r w:rsidRPr="00DE5B12">
        <w:rPr>
          <w:bCs/>
          <w:sz w:val="21"/>
          <w:szCs w:val="21"/>
        </w:rPr>
        <w:t xml:space="preserve"> in maniera non programmata ma in funzione delle esigenze organizzative aziendali. Sono comunque presenti misure di natura preventiva della corruzione quali modalità operative che favoriscono una maggiore condivisione delle attività fra gli operatori, evitando così l’isolamento di certe mansioni, avendo cura di favorire la trasparenza “</w:t>
      </w:r>
      <w:r w:rsidRPr="00DE5B12">
        <w:rPr>
          <w:bCs/>
          <w:i/>
          <w:sz w:val="21"/>
          <w:szCs w:val="21"/>
        </w:rPr>
        <w:t>interna</w:t>
      </w:r>
      <w:r w:rsidRPr="00DE5B12">
        <w:rPr>
          <w:bCs/>
          <w:sz w:val="21"/>
          <w:szCs w:val="21"/>
        </w:rPr>
        <w:t>” delle attività o ancora l’articolazione delle competenze, c.d. “</w:t>
      </w:r>
      <w:r w:rsidRPr="00DE5B12">
        <w:rPr>
          <w:bCs/>
          <w:i/>
          <w:sz w:val="21"/>
          <w:szCs w:val="21"/>
        </w:rPr>
        <w:t>segregazione delle funzioni</w:t>
      </w:r>
      <w:r w:rsidRPr="00DE5B12">
        <w:rPr>
          <w:bCs/>
          <w:sz w:val="21"/>
          <w:szCs w:val="21"/>
        </w:rPr>
        <w:t>”.</w:t>
      </w:r>
    </w:p>
    <w:p w14:paraId="0427B707"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Per quanto concerne la rotazione straordinaria, la Società prende atto di quanto indicato dall’aggiornamento del PNA 2018 e, nei casi di avvio di procedimenti penali o disciplinari per condotte di natura corruttiva, metterà in campo misure analoghe alla rotazione straordinaria nel PTPC.</w:t>
      </w:r>
    </w:p>
    <w:p w14:paraId="02A54CEE"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Si ricorda che al fine di stabilire l’applicabilità della rotazione straordinaria al singolo caso, l’amministrazione è tenuta a verificare la sussistenza; a) dell’avvio di un procedimento penale o disciplinare nei confronti del dipendente, ivi inclusi i dirigenti, b) di una condotta, oggetto di tali procedimenti qualificabile come “corruttiva” ai sensi dell’art. 16, co. 1, lett. l-quater del d.lgs.165/2001. La valutazione della condotta del dipendente da parte dell’Amministrazione è obbligatoria ai fini dell’applicazione della misura. Detta valutazione verrà avviata al momento della conoscenza della richiesta di rinvio a giudizio (art. 405-406 e sgg. Codice procedura penale) formulata dal pubblico ministero al termine delle indagini preliminari, ovvero di atto equipollente (ad esempio, nei procedimenti speciali, dell’atto che instaura il singolo procedimento come la richiesta di giudizio immediato, la richiesta di decreto penale di condanna, ovvero la richiesta di applicazione di misure cautelari).</w:t>
      </w:r>
    </w:p>
    <w:p w14:paraId="1A850195" w14:textId="0E89D0B1" w:rsid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Dal momento che in molti casi i dipendenti non comunicano la sussistenza di procedimenti penali a loro carico, la Società </w:t>
      </w:r>
      <w:r>
        <w:rPr>
          <w:bCs/>
          <w:sz w:val="21"/>
          <w:szCs w:val="21"/>
        </w:rPr>
        <w:t>introdurrà</w:t>
      </w:r>
      <w:r w:rsidRPr="00DE5B12">
        <w:rPr>
          <w:bCs/>
          <w:sz w:val="21"/>
          <w:szCs w:val="21"/>
        </w:rPr>
        <w:t xml:space="preserve"> nel codice di comportamento</w:t>
      </w:r>
      <w:r>
        <w:rPr>
          <w:bCs/>
          <w:sz w:val="21"/>
          <w:szCs w:val="21"/>
        </w:rPr>
        <w:t xml:space="preserve">, previsione che con il presente </w:t>
      </w:r>
      <w:r w:rsidRPr="00DE5B12">
        <w:rPr>
          <w:bCs/>
          <w:sz w:val="21"/>
          <w:szCs w:val="21"/>
        </w:rPr>
        <w:t>PTPCT</w:t>
      </w:r>
      <w:r>
        <w:rPr>
          <w:bCs/>
          <w:sz w:val="21"/>
          <w:szCs w:val="21"/>
        </w:rPr>
        <w:t xml:space="preserve"> viene già resa vincolante</w:t>
      </w:r>
      <w:r w:rsidRPr="00DE5B12">
        <w:rPr>
          <w:bCs/>
          <w:sz w:val="21"/>
          <w:szCs w:val="21"/>
        </w:rPr>
        <w:t>, l’obbligo per i dipendenti di comunicare la sussistenza, nei propri confronti, di provvedimenti di rinvio a giudizio in procedimenti penali.</w:t>
      </w:r>
    </w:p>
    <w:p w14:paraId="5817C521" w14:textId="77777777" w:rsidR="00DE5B12" w:rsidRPr="00DE5B12" w:rsidRDefault="00DE5B12" w:rsidP="00DE5B12">
      <w:pPr>
        <w:shd w:val="clear" w:color="auto" w:fill="FFFFFF"/>
        <w:spacing w:line="360" w:lineRule="auto"/>
        <w:ind w:left="851" w:right="780"/>
        <w:jc w:val="both"/>
        <w:rPr>
          <w:bCs/>
          <w:sz w:val="21"/>
          <w:szCs w:val="21"/>
        </w:rPr>
      </w:pPr>
    </w:p>
    <w:p w14:paraId="7B9A70AB" w14:textId="2C1DCE8D" w:rsidR="00DE5B12" w:rsidRPr="00DE5B12" w:rsidRDefault="00DE5B12" w:rsidP="00DE5B12">
      <w:pPr>
        <w:pStyle w:val="Titolo1"/>
        <w:spacing w:line="360" w:lineRule="auto"/>
        <w:rPr>
          <w:smallCaps/>
        </w:rPr>
      </w:pPr>
      <w:bookmarkStart w:id="63" w:name="_Toc31024102"/>
      <w:bookmarkStart w:id="64" w:name="_Toc66838516"/>
      <w:bookmarkStart w:id="65" w:name="_Toc220506575"/>
      <w:r>
        <w:rPr>
          <w:smallCaps/>
        </w:rPr>
        <w:t>10.3</w:t>
      </w:r>
      <w:r w:rsidRPr="00DE5B12">
        <w:rPr>
          <w:smallCaps/>
        </w:rPr>
        <w:tab/>
        <w:t>Inconferibilità ed Incompatibilità degli incarichi</w:t>
      </w:r>
      <w:bookmarkEnd w:id="63"/>
      <w:bookmarkEnd w:id="64"/>
      <w:bookmarkEnd w:id="65"/>
    </w:p>
    <w:p w14:paraId="6EE14229"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Il Responsabile cura e verifica che siano rispettate le disposizioni del </w:t>
      </w:r>
      <w:proofErr w:type="spellStart"/>
      <w:r w:rsidRPr="00DE5B12">
        <w:rPr>
          <w:bCs/>
          <w:sz w:val="21"/>
          <w:szCs w:val="21"/>
        </w:rPr>
        <w:t>D.Lgs.</w:t>
      </w:r>
      <w:proofErr w:type="spellEnd"/>
      <w:r w:rsidRPr="00DE5B12">
        <w:rPr>
          <w:bCs/>
          <w:sz w:val="21"/>
          <w:szCs w:val="21"/>
        </w:rPr>
        <w:t xml:space="preserve"> 8 aprile 2013, n° 39 sulla inconferibilità e incompatibilità degli incarichi con riguardo ad amministratori e dirigenti. </w:t>
      </w:r>
    </w:p>
    <w:p w14:paraId="52B40A6A"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La Delibera dell’A.N.AC. 833 del 3 agosto 2016 “</w:t>
      </w:r>
      <w:r w:rsidRPr="00DE5B12">
        <w:rPr>
          <w:bCs/>
          <w:i/>
          <w:sz w:val="21"/>
          <w:szCs w:val="21"/>
        </w:rPr>
        <w:t xml:space="preserve">Linee guida in materia di accertamento delle inconferibilità e delle incompatibilità degli incarichi amministrativi da parte del responsabile della prevenzione della corruzione. Attività di vigilanza e poteri di accertamento </w:t>
      </w:r>
      <w:r w:rsidRPr="00DE5B12">
        <w:rPr>
          <w:bCs/>
          <w:i/>
          <w:sz w:val="21"/>
          <w:szCs w:val="21"/>
        </w:rPr>
        <w:lastRenderedPageBreak/>
        <w:t xml:space="preserve">dell’A.N.AC. in caso di incarichi </w:t>
      </w:r>
      <w:proofErr w:type="spellStart"/>
      <w:r w:rsidRPr="00DE5B12">
        <w:rPr>
          <w:bCs/>
          <w:i/>
          <w:sz w:val="21"/>
          <w:szCs w:val="21"/>
        </w:rPr>
        <w:t>inconferibili</w:t>
      </w:r>
      <w:proofErr w:type="spellEnd"/>
      <w:r w:rsidRPr="00DE5B12">
        <w:rPr>
          <w:bCs/>
          <w:i/>
          <w:sz w:val="21"/>
          <w:szCs w:val="21"/>
        </w:rPr>
        <w:t xml:space="preserve"> e incompatibili</w:t>
      </w:r>
      <w:r w:rsidRPr="00DE5B12">
        <w:rPr>
          <w:bCs/>
          <w:sz w:val="21"/>
          <w:szCs w:val="21"/>
        </w:rPr>
        <w:t>” ha fornito gli strumenti per superare i dubbi interpretativi e le difficoltà applicative della normativa sulla inconferibilità e incompatibilità, andando a chiarire il ruolo e le funzioni del responsabile della prevenzione della corruzione e andando definire i confini e i margini di intervento dell’attività dell’ANAC. La vigilanza sull’osservanza delle norme in materia di inconferibilità e incompatibilità è demandata al responsabile della prevenzione della corruzione, in una sorta di vigilanza interna, mentre la vigilanza esterna viene invece condotta dall’Autorità nazionale anticorruzione.</w:t>
      </w:r>
    </w:p>
    <w:p w14:paraId="60007785"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Con riferimento agli accertamenti del Responsabile della Prevenzione della Corruzione, gli stessi si distinguono a seconda che trattasi di inconferibilità o incompatibilità, come di seguito esposto. </w:t>
      </w:r>
    </w:p>
    <w:p w14:paraId="0CF6228E"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A) </w:t>
      </w:r>
      <w:r w:rsidRPr="00DE5B12">
        <w:rPr>
          <w:bCs/>
          <w:sz w:val="21"/>
          <w:szCs w:val="21"/>
          <w:u w:val="single"/>
        </w:rPr>
        <w:t>Inconferibilità</w:t>
      </w:r>
      <w:r w:rsidRPr="00DE5B12">
        <w:rPr>
          <w:bCs/>
          <w:sz w:val="21"/>
          <w:szCs w:val="21"/>
        </w:rPr>
        <w:t xml:space="preserve"> </w:t>
      </w:r>
    </w:p>
    <w:p w14:paraId="59985104"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Al RPCT è assegnato il compito di contestare la situazione di inconferibilità o incompatibilità e di segnalare la violazione all’ANAC.</w:t>
      </w:r>
    </w:p>
    <w:p w14:paraId="4368DF78"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Qualora, quindi, il RPC venga a conoscenza del conferimento di un incarico in violazione delle norme del d.lgs. n. 39 o di una situazione di incompatibilità, deve avviare un procedimento di accertamento. </w:t>
      </w:r>
    </w:p>
    <w:p w14:paraId="2951D058"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Nel caso di una violazione delle norme sulle inconferibilità la contestazione della possibile violazione va fatto nei confronti tanto dell’organo che ha conferito l’incarico quanto del soggetto cui l’incarico è stato conferito.</w:t>
      </w:r>
    </w:p>
    <w:p w14:paraId="42B279F7"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L’attività di contestazione prevede due distinti accertamenti:</w:t>
      </w:r>
    </w:p>
    <w:p w14:paraId="53FDC2D5"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1)</w:t>
      </w:r>
      <w:r w:rsidRPr="00DE5B12">
        <w:rPr>
          <w:bCs/>
          <w:sz w:val="21"/>
          <w:szCs w:val="21"/>
        </w:rPr>
        <w:tab/>
        <w:t>di tipo oggettivo relativo alla violazione delle disposizioni sulle inconferibilità;</w:t>
      </w:r>
    </w:p>
    <w:p w14:paraId="492857DE"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2)</w:t>
      </w:r>
      <w:r w:rsidRPr="00DE5B12">
        <w:rPr>
          <w:bCs/>
          <w:sz w:val="21"/>
          <w:szCs w:val="21"/>
        </w:rPr>
        <w:tab/>
        <w:t>di tipo soggettivo relativo alla valutazione dell’elemento psicologico di colpevolezza in capo all’organo che ha conferito l’incarico, ai fini dell’eventuale applicazione della sanzione interdittiva di cui all’art. 18 del decreto. Accertata, quindi, la sussistenza della causa di inconferibilità dell’incarico, il RPCT dichiara la nullità della nomina e procede alla verifica dell’elemento soggettivo del dolo o della colpa, anche lieve, dei soggetti che all’atto della nomina componevano l’organo che ha conferito l’incarico, ai fini della applicazione della sanzione inibitoria prevista all’art. 18 del d.lgs. n. 39/2013.</w:t>
      </w:r>
    </w:p>
    <w:p w14:paraId="2BBFCE78"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L’atto di contestazione, da portare a conoscenza anche dei soggetti che hanno conferito l’incarico, oltre a contenere una brevissima indicazione del fatto, della nomina ritenuta </w:t>
      </w:r>
      <w:proofErr w:type="spellStart"/>
      <w:r w:rsidRPr="00DE5B12">
        <w:rPr>
          <w:bCs/>
          <w:sz w:val="21"/>
          <w:szCs w:val="21"/>
        </w:rPr>
        <w:t>inconferibile</w:t>
      </w:r>
      <w:proofErr w:type="spellEnd"/>
      <w:r w:rsidRPr="00DE5B12">
        <w:rPr>
          <w:bCs/>
          <w:sz w:val="21"/>
          <w:szCs w:val="21"/>
        </w:rPr>
        <w:t xml:space="preserve"> e della norma che si assume violata, contiene anche l’invito a presentare memorie a discolpa, in un termine congruo, tale da consentire, comunque, l’esercizio del diritto di difesa (tendenzialmente non inferiore a cinque giorni).</w:t>
      </w:r>
    </w:p>
    <w:p w14:paraId="78609DDE"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B) Incompatibilità</w:t>
      </w:r>
    </w:p>
    <w:p w14:paraId="2D954A68" w14:textId="22F270FC"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 xml:space="preserve">In tale caso, per il RPCT, è previsto il dovere di avviare un unico procedimento, quello di </w:t>
      </w:r>
      <w:r w:rsidRPr="00DE5B12">
        <w:rPr>
          <w:bCs/>
          <w:sz w:val="21"/>
          <w:szCs w:val="21"/>
        </w:rPr>
        <w:lastRenderedPageBreak/>
        <w:t>accertamento di eventuali situazioni di incompatibilità. Una volta accertata la sussistenza di una situazione di incompatibilità, il RPC</w:t>
      </w:r>
      <w:r>
        <w:rPr>
          <w:bCs/>
          <w:sz w:val="21"/>
          <w:szCs w:val="21"/>
        </w:rPr>
        <w:t>T</w:t>
      </w:r>
      <w:r w:rsidRPr="00DE5B12">
        <w:rPr>
          <w:bCs/>
          <w:sz w:val="21"/>
          <w:szCs w:val="21"/>
        </w:rPr>
        <w:t xml:space="preserve"> contesta all’interessato l’accertamento compiuto. Dalla data della contestazione decorrono i 15 giorni, che impongono, in assenza di una opzione da parte dell’interessato, l’adozione di un atto con il quale viene dichiarata la decadenza dall’incarico. In questo caso l’accertamento è solamente di tipo oggettivo.</w:t>
      </w:r>
    </w:p>
    <w:p w14:paraId="53543BE4"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Con riferimento all’attività di verifica del RPC sulle dichiarazioni concernenti la insussistenza di cause di inconferibilità o incompatibilità, l’art. 20 del decreto 39/2013 impone a colui al quale l’incarico è conferito, di rilasciare, all’atto della nomina, una dichiarazione sulla insussistenza di una delle cause di inconferibilità o incompatibilità individuate dallo stesso decreto.</w:t>
      </w:r>
    </w:p>
    <w:p w14:paraId="618A77F0"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Tale dichiarazione rileva solo nell’ambito dell’accertamento che il RPC è tenuto a svolgere in sede di procedimento sanzionatorio avviato nei confronti dei componenti l’organo conferente l’incarico, tenuto conto che, pur costituendo un momento di responsabilizzazione del suo autore, tale dichiarazione non vale ad esonerare, chi ha conferito l’incarico, dal dovere di accertare, nel rispetto dei principi di buon andamento e di imparzialità di cui all’art. 97 Cost. i requisiti necessari alla nomina, ovvero l’assenza di cause di inconferibilità e di incompatibilità in capo al soggetto che si vuole nominare.</w:t>
      </w:r>
    </w:p>
    <w:p w14:paraId="1828116D"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In caso di dichiarazioni mendaci, si configurano diverse conseguenze:</w:t>
      </w:r>
    </w:p>
    <w:p w14:paraId="543130E7"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1)</w:t>
      </w:r>
      <w:r w:rsidRPr="00DE5B12">
        <w:rPr>
          <w:bCs/>
          <w:sz w:val="21"/>
          <w:szCs w:val="21"/>
        </w:rPr>
        <w:tab/>
        <w:t xml:space="preserve">responsabilità penale in capo al suo autore, essendo questa resa ai sensi dell’art. 76 del d.P.R. n. 445/2000; </w:t>
      </w:r>
    </w:p>
    <w:p w14:paraId="7E2DF17F"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2)</w:t>
      </w:r>
      <w:r w:rsidRPr="00DE5B12">
        <w:rPr>
          <w:bCs/>
          <w:sz w:val="21"/>
          <w:szCs w:val="21"/>
        </w:rPr>
        <w:tab/>
        <w:t>impossibilità, per il suo autore, di ricoprire, per un periodo pari a cinque anni, alcuno degli incarichi previsti dal decreto in quanto resa anche ai sensi dell’art. 20 del d.lgs. 39/2013.</w:t>
      </w:r>
    </w:p>
    <w:p w14:paraId="43967E56"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Tuttavia, proprio in considerazione della buona fede che può caratterizzare l’autore della dichiarazione, è opportuno considerare un passaggio che la legge non contempla, ma che potrebbe chiarire non solo la condotta da esigere dall’autore della dichiarazione, ma anche l’ambito oggettivo della verifica richiesta all’organo conferente l’incarico.</w:t>
      </w:r>
    </w:p>
    <w:p w14:paraId="7F7983FA" w14:textId="738B59DA" w:rsidR="00DE5B12" w:rsidRPr="00DE5B12" w:rsidRDefault="00DE5B12" w:rsidP="00DE5B12">
      <w:pPr>
        <w:shd w:val="clear" w:color="auto" w:fill="FFFFFF"/>
        <w:spacing w:line="360" w:lineRule="auto"/>
        <w:ind w:left="851" w:right="780"/>
        <w:jc w:val="both"/>
        <w:rPr>
          <w:bCs/>
          <w:sz w:val="21"/>
          <w:szCs w:val="21"/>
        </w:rPr>
      </w:pPr>
      <w:r>
        <w:rPr>
          <w:bCs/>
          <w:sz w:val="21"/>
          <w:szCs w:val="21"/>
        </w:rPr>
        <w:t xml:space="preserve">ASP / </w:t>
      </w:r>
      <w:proofErr w:type="spellStart"/>
      <w:r>
        <w:rPr>
          <w:bCs/>
          <w:sz w:val="21"/>
          <w:szCs w:val="21"/>
        </w:rPr>
        <w:t>EbS</w:t>
      </w:r>
      <w:proofErr w:type="spellEnd"/>
      <w:r w:rsidRPr="00DE5B12">
        <w:rPr>
          <w:bCs/>
          <w:sz w:val="21"/>
          <w:szCs w:val="21"/>
        </w:rPr>
        <w:t xml:space="preserve"> ha</w:t>
      </w:r>
      <w:r>
        <w:rPr>
          <w:bCs/>
          <w:sz w:val="21"/>
          <w:szCs w:val="21"/>
        </w:rPr>
        <w:t>nno</w:t>
      </w:r>
      <w:r w:rsidRPr="00DE5B12">
        <w:rPr>
          <w:bCs/>
          <w:sz w:val="21"/>
          <w:szCs w:val="21"/>
        </w:rPr>
        <w:t xml:space="preserve"> pertanto ritenuto di adeguarsi all’invito di A.N.AC. di accettare solo dichiarazioni alla quali venga allegata l’elencazione di tutti gli incarichi ricoperti dal soggetto che si vuole nominare, nonché delle eventuali condanne da questo subite per i reati commessi contro la pubblica amministrazione al fine di poter effettuare le necessarie verifiche circa la sussistenza di una causa di inconferibilità o di incompatibilità. </w:t>
      </w:r>
    </w:p>
    <w:p w14:paraId="73C90CBF" w14:textId="4402FDED"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Ne consegue che il compito del RPC</w:t>
      </w:r>
      <w:r>
        <w:rPr>
          <w:bCs/>
          <w:sz w:val="21"/>
          <w:szCs w:val="21"/>
        </w:rPr>
        <w:t>T</w:t>
      </w:r>
      <w:r w:rsidRPr="00DE5B12">
        <w:rPr>
          <w:bCs/>
          <w:sz w:val="21"/>
          <w:szCs w:val="21"/>
        </w:rPr>
        <w:t xml:space="preserve"> nell’ambito del procedimento sanzionatorio sarà più agevole, potendosi, ad esempio, dedurre:</w:t>
      </w:r>
    </w:p>
    <w:p w14:paraId="02FAF034"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w:t>
      </w:r>
      <w:r w:rsidRPr="00DE5B12">
        <w:rPr>
          <w:bCs/>
          <w:sz w:val="21"/>
          <w:szCs w:val="21"/>
        </w:rPr>
        <w:tab/>
        <w:t xml:space="preserve">la responsabilità dell’organo conferente ogni volta che l’incarico dichiarato poi nullo sia stato conferito nonostante, dalla elencazione prodotta, fossero emersi elementi che, </w:t>
      </w:r>
      <w:r w:rsidRPr="00DE5B12">
        <w:rPr>
          <w:bCs/>
          <w:sz w:val="21"/>
          <w:szCs w:val="21"/>
        </w:rPr>
        <w:lastRenderedPageBreak/>
        <w:t>adeguatamente accertati, evidenziassero cause di inconferibilità o di incompatibilità;</w:t>
      </w:r>
    </w:p>
    <w:p w14:paraId="6FDDB542" w14:textId="41D43F25" w:rsidR="00DE5B12" w:rsidRDefault="00DE5B12" w:rsidP="00DE5B12">
      <w:pPr>
        <w:shd w:val="clear" w:color="auto" w:fill="FFFFFF"/>
        <w:spacing w:line="360" w:lineRule="auto"/>
        <w:ind w:left="851" w:right="780"/>
        <w:jc w:val="both"/>
        <w:rPr>
          <w:bCs/>
          <w:sz w:val="21"/>
          <w:szCs w:val="21"/>
        </w:rPr>
      </w:pPr>
      <w:r w:rsidRPr="00DE5B12">
        <w:rPr>
          <w:bCs/>
          <w:sz w:val="21"/>
          <w:szCs w:val="21"/>
        </w:rPr>
        <w:t>-</w:t>
      </w:r>
      <w:r w:rsidRPr="00DE5B12">
        <w:rPr>
          <w:bCs/>
          <w:sz w:val="21"/>
          <w:szCs w:val="21"/>
        </w:rPr>
        <w:tab/>
        <w:t>la buonafede dell’autore della dichiarazione, in caso di dichiarazione esaustiva. Con riferimento, però, a tale ultimo profilo, vale evidenziare che l’elemento psicologico del dichiarante non è preso in considerazione dal legislatore, il quale collega alla dichiarazione mendace, accertata dalla stessa amministrazione nel rispetto del diritto di difesa e del contraddittorio dell’interessato, l’inconferibilità di qualsivoglia incarico tra quelli previsti dal decreto, per il periodo di cinque anni.</w:t>
      </w:r>
    </w:p>
    <w:p w14:paraId="277F91ED" w14:textId="6BD54A42" w:rsidR="00DE5B12" w:rsidRPr="00DE5B12" w:rsidRDefault="00DE5B12" w:rsidP="00DE5B12">
      <w:pPr>
        <w:pStyle w:val="Titolo1"/>
        <w:spacing w:line="360" w:lineRule="auto"/>
        <w:rPr>
          <w:smallCaps/>
        </w:rPr>
      </w:pPr>
      <w:bookmarkStart w:id="66" w:name="_Toc30362652"/>
      <w:bookmarkStart w:id="67" w:name="_Toc66838517"/>
      <w:bookmarkStart w:id="68" w:name="_Toc220506576"/>
      <w:r w:rsidRPr="00DE5B12">
        <w:rPr>
          <w:smallCaps/>
        </w:rPr>
        <w:t>10.4 Whistleblowing Policy</w:t>
      </w:r>
      <w:bookmarkEnd w:id="66"/>
      <w:bookmarkEnd w:id="67"/>
      <w:bookmarkEnd w:id="68"/>
      <w:r w:rsidRPr="00DE5B12">
        <w:rPr>
          <w:smallCaps/>
        </w:rPr>
        <w:t xml:space="preserve"> </w:t>
      </w:r>
    </w:p>
    <w:p w14:paraId="640DFFB2"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L’articolo 54 bis del Decreto legislativo 30 marzo 2001, n.165 di cui alla Legge Anticorruzione n.190/2012 e poi modificato dalla Legge n.179/2017, introduce le “</w:t>
      </w:r>
      <w:r w:rsidRPr="00DE5B12">
        <w:rPr>
          <w:bCs/>
          <w:i/>
          <w:iCs/>
          <w:sz w:val="21"/>
          <w:szCs w:val="21"/>
        </w:rPr>
        <w:t>Disposizioni per la tutela degli autori di segnalazioni di reati o irregolarità di cui siano venuti a conoscenza nell’ambito di un rapporto di lavoro pubblico o privato</w:t>
      </w:r>
      <w:r w:rsidRPr="00DE5B12">
        <w:rPr>
          <w:bCs/>
          <w:sz w:val="21"/>
          <w:szCs w:val="21"/>
        </w:rPr>
        <w:t>”, il cosiddetto whistleblowing.</w:t>
      </w:r>
    </w:p>
    <w:p w14:paraId="08173E43"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Le caratteristiche di questa modalità di segnalazione sono le seguenti:</w:t>
      </w:r>
    </w:p>
    <w:p w14:paraId="7EBC47B5"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w:t>
      </w:r>
      <w:r w:rsidRPr="00DE5B12">
        <w:rPr>
          <w:bCs/>
          <w:sz w:val="21"/>
          <w:szCs w:val="21"/>
        </w:rPr>
        <w:tab/>
        <w:t>la segnalazione può essere fatta dai dipendenti e dai dipendenti e collaboratori delle imprese fornitrici e realizzatrici della stessa;</w:t>
      </w:r>
    </w:p>
    <w:p w14:paraId="1817F3E0"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w:t>
      </w:r>
      <w:r w:rsidRPr="00DE5B12">
        <w:rPr>
          <w:bCs/>
          <w:sz w:val="21"/>
          <w:szCs w:val="21"/>
        </w:rPr>
        <w:tab/>
        <w:t>il segnalante non può essere sanzionato, demansionato, licenziato, trasferito o sottoposto ad altra misura organizzativa avente effetti negativi, diretti o indiretti, sulle condizioni di lavoro determinata dalla segnalazione di condotte illecite di cui è venuto a conoscenza in ragione del proprio rapporto di lavoro;</w:t>
      </w:r>
    </w:p>
    <w:p w14:paraId="69F39B6F"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w:t>
      </w:r>
      <w:r w:rsidRPr="00DE5B12">
        <w:rPr>
          <w:bCs/>
          <w:sz w:val="21"/>
          <w:szCs w:val="21"/>
        </w:rPr>
        <w:tab/>
        <w:t>le tutele del segnalante non sono garantite nei casi in cui sia accertata la responsabilità penale del segnalante per i reati di calunnia o diffamazione;</w:t>
      </w:r>
    </w:p>
    <w:p w14:paraId="419EE0F8"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w:t>
      </w:r>
      <w:r w:rsidRPr="00DE5B12">
        <w:rPr>
          <w:bCs/>
          <w:sz w:val="21"/>
          <w:szCs w:val="21"/>
        </w:rPr>
        <w:tab/>
        <w:t>la segnalazione viene fatta attraverso la compilazione di un questionario e può essere inviata in forma anonima. Se anonima, sarà presa in carico solo se adeguatamente circostanziata.</w:t>
      </w:r>
    </w:p>
    <w:p w14:paraId="0729564D" w14:textId="77777777"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w:t>
      </w:r>
      <w:r w:rsidRPr="00DE5B12">
        <w:rPr>
          <w:bCs/>
          <w:sz w:val="21"/>
          <w:szCs w:val="21"/>
        </w:rPr>
        <w:tab/>
        <w:t>la segnalazione viene ricevuta dal Responsabile per la Prevenzione della Corruzione e Trasparenza (RPCT) e da lui gestita mantenendo il dovere di confidenzialità nei confronti del segnalante. La segnalazione viene ricevuta anche dall’ODV.</w:t>
      </w:r>
    </w:p>
    <w:p w14:paraId="12820B9D" w14:textId="12C3D070" w:rsidR="00DE5B12" w:rsidRDefault="00DE5B12" w:rsidP="00DE5B12">
      <w:pPr>
        <w:shd w:val="clear" w:color="auto" w:fill="FFFFFF"/>
        <w:spacing w:line="360" w:lineRule="auto"/>
        <w:ind w:left="851" w:right="780"/>
        <w:jc w:val="both"/>
        <w:rPr>
          <w:bCs/>
          <w:sz w:val="21"/>
          <w:szCs w:val="21"/>
        </w:rPr>
      </w:pPr>
      <w:r>
        <w:rPr>
          <w:bCs/>
          <w:sz w:val="21"/>
          <w:szCs w:val="21"/>
        </w:rPr>
        <w:t xml:space="preserve">ASP / EBS </w:t>
      </w:r>
      <w:r w:rsidR="00D85672">
        <w:rPr>
          <w:bCs/>
          <w:sz w:val="21"/>
          <w:szCs w:val="21"/>
        </w:rPr>
        <w:t xml:space="preserve">aveva </w:t>
      </w:r>
      <w:r>
        <w:rPr>
          <w:bCs/>
          <w:sz w:val="21"/>
          <w:szCs w:val="21"/>
        </w:rPr>
        <w:t>adottato tempestivamente la procedura in parola</w:t>
      </w:r>
      <w:r w:rsidR="00D85672">
        <w:rPr>
          <w:bCs/>
          <w:sz w:val="21"/>
          <w:szCs w:val="21"/>
        </w:rPr>
        <w:t>;</w:t>
      </w:r>
      <w:r>
        <w:rPr>
          <w:bCs/>
          <w:sz w:val="21"/>
          <w:szCs w:val="21"/>
        </w:rPr>
        <w:t xml:space="preserve"> le </w:t>
      </w:r>
      <w:r w:rsidRPr="00DE5B12">
        <w:rPr>
          <w:bCs/>
          <w:sz w:val="21"/>
          <w:szCs w:val="21"/>
        </w:rPr>
        <w:t>linee guida di ANAC</w:t>
      </w:r>
      <w:r>
        <w:rPr>
          <w:bCs/>
          <w:sz w:val="21"/>
          <w:szCs w:val="21"/>
        </w:rPr>
        <w:t xml:space="preserve"> </w:t>
      </w:r>
      <w:r w:rsidR="00D85672">
        <w:rPr>
          <w:bCs/>
          <w:sz w:val="21"/>
          <w:szCs w:val="21"/>
        </w:rPr>
        <w:t>sancivano</w:t>
      </w:r>
      <w:r>
        <w:rPr>
          <w:bCs/>
          <w:sz w:val="21"/>
          <w:szCs w:val="21"/>
        </w:rPr>
        <w:t xml:space="preserve"> che</w:t>
      </w:r>
      <w:r w:rsidRPr="00DE5B12">
        <w:rPr>
          <w:bCs/>
          <w:sz w:val="21"/>
          <w:szCs w:val="21"/>
        </w:rPr>
        <w:t xml:space="preserve"> le procedure per il whistleblowing </w:t>
      </w:r>
      <w:proofErr w:type="spellStart"/>
      <w:r w:rsidR="00D85672">
        <w:rPr>
          <w:bCs/>
          <w:sz w:val="21"/>
          <w:szCs w:val="21"/>
        </w:rPr>
        <w:t>dovessero</w:t>
      </w:r>
      <w:r w:rsidRPr="00DE5B12">
        <w:rPr>
          <w:bCs/>
          <w:sz w:val="21"/>
          <w:szCs w:val="21"/>
        </w:rPr>
        <w:t>o</w:t>
      </w:r>
      <w:proofErr w:type="spellEnd"/>
      <w:r w:rsidRPr="00DE5B12">
        <w:rPr>
          <w:bCs/>
          <w:sz w:val="21"/>
          <w:szCs w:val="21"/>
        </w:rPr>
        <w:t xml:space="preserve"> avere caratteristiche precise. In particolare</w:t>
      </w:r>
      <w:r>
        <w:rPr>
          <w:bCs/>
          <w:sz w:val="21"/>
          <w:szCs w:val="21"/>
        </w:rPr>
        <w:t xml:space="preserve"> esse</w:t>
      </w:r>
      <w:r w:rsidRPr="00DE5B12">
        <w:rPr>
          <w:bCs/>
          <w:sz w:val="21"/>
          <w:szCs w:val="21"/>
        </w:rPr>
        <w:t xml:space="preserve"> “</w:t>
      </w:r>
      <w:r w:rsidRPr="00DE5B12">
        <w:rPr>
          <w:bCs/>
          <w:i/>
          <w:iCs/>
          <w:sz w:val="21"/>
          <w:szCs w:val="21"/>
        </w:rPr>
        <w:t>prevedono l’utilizzo di modalità anche informatiche e promuovono il ricorso a strumenti di crittografia per garantire la riservatezza dell’identità del segnalante e per il contenuto delle segnalazioni e della relativa documentazione</w:t>
      </w:r>
      <w:r w:rsidRPr="00DE5B12">
        <w:rPr>
          <w:bCs/>
          <w:sz w:val="21"/>
          <w:szCs w:val="21"/>
        </w:rPr>
        <w:t>”.</w:t>
      </w:r>
      <w:r w:rsidR="00784872">
        <w:rPr>
          <w:bCs/>
          <w:sz w:val="21"/>
          <w:szCs w:val="21"/>
        </w:rPr>
        <w:t xml:space="preserve"> </w:t>
      </w:r>
      <w:r>
        <w:rPr>
          <w:bCs/>
          <w:sz w:val="21"/>
          <w:szCs w:val="21"/>
        </w:rPr>
        <w:t xml:space="preserve">La Società </w:t>
      </w:r>
      <w:r w:rsidR="00664733">
        <w:rPr>
          <w:bCs/>
          <w:sz w:val="21"/>
          <w:szCs w:val="21"/>
        </w:rPr>
        <w:t>ha aderito</w:t>
      </w:r>
      <w:r w:rsidRPr="00DE5B12">
        <w:rPr>
          <w:bCs/>
          <w:sz w:val="21"/>
          <w:szCs w:val="21"/>
        </w:rPr>
        <w:t xml:space="preserve"> al progetto WhistleblowingPA di </w:t>
      </w:r>
      <w:proofErr w:type="spellStart"/>
      <w:r w:rsidRPr="00DE5B12">
        <w:rPr>
          <w:bCs/>
          <w:sz w:val="21"/>
          <w:szCs w:val="21"/>
        </w:rPr>
        <w:t>Transparency</w:t>
      </w:r>
      <w:proofErr w:type="spellEnd"/>
      <w:r w:rsidRPr="00DE5B12">
        <w:rPr>
          <w:bCs/>
          <w:sz w:val="21"/>
          <w:szCs w:val="21"/>
        </w:rPr>
        <w:t xml:space="preserve"> International Italia e del Centro Hermes per la Trasparenza e i Diritti Umani e Digitali e </w:t>
      </w:r>
      <w:r w:rsidR="004D18F9">
        <w:rPr>
          <w:bCs/>
          <w:sz w:val="21"/>
          <w:szCs w:val="21"/>
        </w:rPr>
        <w:t>adotta</w:t>
      </w:r>
      <w:r w:rsidR="00664733">
        <w:rPr>
          <w:bCs/>
          <w:sz w:val="21"/>
          <w:szCs w:val="21"/>
        </w:rPr>
        <w:t>to</w:t>
      </w:r>
      <w:r w:rsidRPr="00DE5B12">
        <w:rPr>
          <w:bCs/>
          <w:sz w:val="21"/>
          <w:szCs w:val="21"/>
        </w:rPr>
        <w:t xml:space="preserve"> la piattaforma informatica prevista per adempiere agli obblighi normativi e in quanto ritiene importante dotarsi di uno strumento sicuro per le segnalazioni</w:t>
      </w:r>
      <w:r w:rsidR="00664733">
        <w:rPr>
          <w:bCs/>
          <w:sz w:val="21"/>
          <w:szCs w:val="21"/>
        </w:rPr>
        <w:t xml:space="preserve"> (</w:t>
      </w:r>
      <w:hyperlink r:id="rId20" w:anchor="/" w:history="1">
        <w:r w:rsidR="00664733" w:rsidRPr="00664733">
          <w:rPr>
            <w:color w:val="0000FF"/>
            <w:u w:val="single"/>
          </w:rPr>
          <w:t>ASP Emanuele Brignole - (whistleblowing.it)</w:t>
        </w:r>
      </w:hyperlink>
      <w:r w:rsidR="00664733">
        <w:rPr>
          <w:bCs/>
          <w:sz w:val="21"/>
          <w:szCs w:val="21"/>
        </w:rPr>
        <w:t>)</w:t>
      </w:r>
      <w:r w:rsidRPr="00DE5B12">
        <w:rPr>
          <w:bCs/>
          <w:sz w:val="21"/>
          <w:szCs w:val="21"/>
        </w:rPr>
        <w:t>.</w:t>
      </w:r>
    </w:p>
    <w:p w14:paraId="551E63BB" w14:textId="77777777" w:rsidR="00784872" w:rsidRDefault="00784872" w:rsidP="00784872">
      <w:pPr>
        <w:shd w:val="clear" w:color="auto" w:fill="FFFFFF"/>
        <w:spacing w:line="360" w:lineRule="auto"/>
        <w:ind w:right="780"/>
        <w:jc w:val="both"/>
        <w:rPr>
          <w:bCs/>
          <w:sz w:val="21"/>
          <w:szCs w:val="21"/>
        </w:rPr>
      </w:pPr>
    </w:p>
    <w:p w14:paraId="5E5D9539" w14:textId="46AA09C2" w:rsidR="00784872" w:rsidRDefault="00784872" w:rsidP="00DE5B12">
      <w:pPr>
        <w:shd w:val="clear" w:color="auto" w:fill="FFFFFF"/>
        <w:spacing w:line="360" w:lineRule="auto"/>
        <w:ind w:left="851" w:right="780"/>
        <w:jc w:val="both"/>
        <w:rPr>
          <w:bCs/>
          <w:sz w:val="21"/>
          <w:szCs w:val="21"/>
        </w:rPr>
      </w:pPr>
      <w:r>
        <w:rPr>
          <w:bCs/>
          <w:noProof/>
          <w:sz w:val="21"/>
          <w:szCs w:val="21"/>
        </w:rPr>
        <w:drawing>
          <wp:inline distT="0" distB="0" distL="0" distR="0" wp14:anchorId="2BD6368F" wp14:editId="7812DB73">
            <wp:extent cx="5311547" cy="1420238"/>
            <wp:effectExtent l="0" t="0" r="3810" b="889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2982" cy="1428643"/>
                    </a:xfrm>
                    <a:prstGeom prst="rect">
                      <a:avLst/>
                    </a:prstGeom>
                    <a:noFill/>
                  </pic:spPr>
                </pic:pic>
              </a:graphicData>
            </a:graphic>
          </wp:inline>
        </w:drawing>
      </w:r>
    </w:p>
    <w:p w14:paraId="167E2F82" w14:textId="2637D32C" w:rsidR="00DE5B12" w:rsidRPr="00DE5B12" w:rsidRDefault="00DE5B12" w:rsidP="00DE5B12">
      <w:pPr>
        <w:shd w:val="clear" w:color="auto" w:fill="FFFFFF"/>
        <w:spacing w:line="360" w:lineRule="auto"/>
        <w:ind w:left="851" w:right="780"/>
        <w:jc w:val="both"/>
        <w:rPr>
          <w:bCs/>
          <w:sz w:val="21"/>
          <w:szCs w:val="21"/>
        </w:rPr>
      </w:pPr>
      <w:r w:rsidRPr="00DE5B12">
        <w:rPr>
          <w:bCs/>
          <w:sz w:val="21"/>
          <w:szCs w:val="21"/>
        </w:rPr>
        <w:t>Le caratteristiche di questa modalità di segnalazione sono</w:t>
      </w:r>
      <w:r w:rsidR="004D18F9">
        <w:rPr>
          <w:bCs/>
          <w:sz w:val="21"/>
          <w:szCs w:val="21"/>
        </w:rPr>
        <w:t>, infatti,</w:t>
      </w:r>
      <w:r w:rsidRPr="00DE5B12">
        <w:rPr>
          <w:bCs/>
          <w:sz w:val="21"/>
          <w:szCs w:val="21"/>
        </w:rPr>
        <w:t xml:space="preserve"> le seguenti:</w:t>
      </w:r>
    </w:p>
    <w:p w14:paraId="2E215E9F" w14:textId="77777777" w:rsidR="004D18F9" w:rsidRDefault="00DE5B12" w:rsidP="00D506C9">
      <w:pPr>
        <w:pStyle w:val="Paragrafoelenco"/>
        <w:numPr>
          <w:ilvl w:val="0"/>
          <w:numId w:val="35"/>
        </w:numPr>
        <w:shd w:val="clear" w:color="auto" w:fill="FFFFFF"/>
        <w:spacing w:line="360" w:lineRule="auto"/>
        <w:ind w:right="780"/>
        <w:jc w:val="both"/>
        <w:rPr>
          <w:bCs/>
          <w:sz w:val="21"/>
          <w:szCs w:val="21"/>
        </w:rPr>
      </w:pPr>
      <w:r w:rsidRPr="004D18F9">
        <w:rPr>
          <w:bCs/>
          <w:sz w:val="21"/>
          <w:szCs w:val="21"/>
        </w:rPr>
        <w:t>la segnalazione può essere fatta dai dipendenti e dai dipendenti e collaboratori delle imprese fornitrici della stessa;</w:t>
      </w:r>
    </w:p>
    <w:p w14:paraId="10BDE909" w14:textId="77777777" w:rsidR="004D18F9" w:rsidRDefault="00DE5B12" w:rsidP="00D506C9">
      <w:pPr>
        <w:pStyle w:val="Paragrafoelenco"/>
        <w:numPr>
          <w:ilvl w:val="0"/>
          <w:numId w:val="35"/>
        </w:numPr>
        <w:shd w:val="clear" w:color="auto" w:fill="FFFFFF"/>
        <w:spacing w:line="360" w:lineRule="auto"/>
        <w:ind w:right="780"/>
        <w:jc w:val="both"/>
        <w:rPr>
          <w:bCs/>
          <w:sz w:val="21"/>
          <w:szCs w:val="21"/>
        </w:rPr>
      </w:pPr>
      <w:r w:rsidRPr="004D18F9">
        <w:rPr>
          <w:bCs/>
          <w:sz w:val="21"/>
          <w:szCs w:val="21"/>
        </w:rPr>
        <w:t>il segnalante non può essere sanzionato, demansionato, licenziato, trasferito o sottoposto ad altra misura organizzativa avente effetti negativi, diretti o indiretti, sulle condizioni di lavoro determinata dalla segnalazione di condotte illecite di cui è venuto a conoscenza in ragione del proprio rapporto di lavoro;</w:t>
      </w:r>
    </w:p>
    <w:p w14:paraId="2E7E8450" w14:textId="77777777" w:rsidR="004D18F9" w:rsidRDefault="00DE5B12" w:rsidP="00D506C9">
      <w:pPr>
        <w:pStyle w:val="Paragrafoelenco"/>
        <w:numPr>
          <w:ilvl w:val="0"/>
          <w:numId w:val="35"/>
        </w:numPr>
        <w:shd w:val="clear" w:color="auto" w:fill="FFFFFF"/>
        <w:spacing w:line="360" w:lineRule="auto"/>
        <w:ind w:right="780"/>
        <w:jc w:val="both"/>
        <w:rPr>
          <w:bCs/>
          <w:sz w:val="21"/>
          <w:szCs w:val="21"/>
        </w:rPr>
      </w:pPr>
      <w:r w:rsidRPr="004D18F9">
        <w:rPr>
          <w:bCs/>
          <w:sz w:val="21"/>
          <w:szCs w:val="21"/>
        </w:rPr>
        <w:t>le tutele del segnalante non sono garantite nei casi in cui sia accertata la responsabilità penale del segnalante per i reati di calunnia o diffamazione;</w:t>
      </w:r>
    </w:p>
    <w:p w14:paraId="18BBB66E" w14:textId="26E65E63" w:rsidR="004D18F9" w:rsidRDefault="00DE5B12" w:rsidP="00D506C9">
      <w:pPr>
        <w:pStyle w:val="Paragrafoelenco"/>
        <w:numPr>
          <w:ilvl w:val="0"/>
          <w:numId w:val="35"/>
        </w:numPr>
        <w:shd w:val="clear" w:color="auto" w:fill="FFFFFF"/>
        <w:spacing w:line="360" w:lineRule="auto"/>
        <w:ind w:right="780"/>
        <w:jc w:val="both"/>
        <w:rPr>
          <w:bCs/>
          <w:sz w:val="21"/>
          <w:szCs w:val="21"/>
        </w:rPr>
      </w:pPr>
      <w:r w:rsidRPr="004D18F9">
        <w:rPr>
          <w:bCs/>
          <w:sz w:val="21"/>
          <w:szCs w:val="21"/>
        </w:rPr>
        <w:t>la segnalazione viene fatta attraverso la compilazione di un questionario e può essere inviata in forma anonima. Se anonima, sarà presa in carico solo se adeguatamente circostanziata</w:t>
      </w:r>
      <w:r w:rsidR="004D18F9">
        <w:rPr>
          <w:bCs/>
          <w:sz w:val="21"/>
          <w:szCs w:val="21"/>
        </w:rPr>
        <w:t>;</w:t>
      </w:r>
    </w:p>
    <w:p w14:paraId="3777C755" w14:textId="6EBFB2BC" w:rsidR="004D18F9" w:rsidRDefault="00DE5B12" w:rsidP="00D506C9">
      <w:pPr>
        <w:pStyle w:val="Paragrafoelenco"/>
        <w:numPr>
          <w:ilvl w:val="0"/>
          <w:numId w:val="35"/>
        </w:numPr>
        <w:shd w:val="clear" w:color="auto" w:fill="FFFFFF"/>
        <w:spacing w:line="360" w:lineRule="auto"/>
        <w:ind w:right="780"/>
        <w:jc w:val="both"/>
        <w:rPr>
          <w:bCs/>
          <w:sz w:val="21"/>
          <w:szCs w:val="21"/>
        </w:rPr>
      </w:pPr>
      <w:r w:rsidRPr="004D18F9">
        <w:rPr>
          <w:bCs/>
          <w:sz w:val="21"/>
          <w:szCs w:val="21"/>
        </w:rPr>
        <w:t>la segnalazione viene ricevuta dal Responsabile per la Prevenzione della Corruzione e Trasparenza (RPCT) e da lui gestita mantenendo il dovere di confidenzialità nei confronti del segnalante. La segnalazione viene ricevuta anche dall’ODV</w:t>
      </w:r>
      <w:r w:rsidR="004D18F9">
        <w:rPr>
          <w:bCs/>
          <w:sz w:val="21"/>
          <w:szCs w:val="21"/>
        </w:rPr>
        <w:t>;</w:t>
      </w:r>
    </w:p>
    <w:p w14:paraId="57E07108" w14:textId="4B38CE08" w:rsidR="00DE5B12" w:rsidRDefault="00DE5B12" w:rsidP="00D506C9">
      <w:pPr>
        <w:pStyle w:val="Paragrafoelenco"/>
        <w:numPr>
          <w:ilvl w:val="0"/>
          <w:numId w:val="35"/>
        </w:numPr>
        <w:shd w:val="clear" w:color="auto" w:fill="FFFFFF"/>
        <w:spacing w:line="360" w:lineRule="auto"/>
        <w:ind w:right="780"/>
        <w:jc w:val="both"/>
        <w:rPr>
          <w:bCs/>
          <w:sz w:val="21"/>
          <w:szCs w:val="21"/>
        </w:rPr>
      </w:pPr>
      <w:r w:rsidRPr="004D18F9">
        <w:rPr>
          <w:bCs/>
          <w:sz w:val="21"/>
          <w:szCs w:val="21"/>
        </w:rPr>
        <w:t>nel momento dell’invio della segnalazione, il segnalante riceve un codice numerico di 16 cifre che deve conservare per poter accedere nuovamente alla segnalazione, verificare la risposta dell’RPCT e dialogare rispondendo a richieste di chiarimenti o approfondimenti</w:t>
      </w:r>
      <w:r w:rsidR="004D18F9">
        <w:rPr>
          <w:bCs/>
          <w:sz w:val="21"/>
          <w:szCs w:val="21"/>
        </w:rPr>
        <w:t>.</w:t>
      </w:r>
    </w:p>
    <w:p w14:paraId="50DE802C" w14:textId="5AA59E23" w:rsidR="00D85672" w:rsidRDefault="003A2657" w:rsidP="00D85672">
      <w:pPr>
        <w:shd w:val="clear" w:color="auto" w:fill="FFFFFF"/>
        <w:spacing w:line="360" w:lineRule="auto"/>
        <w:ind w:left="851" w:right="780"/>
        <w:jc w:val="both"/>
        <w:rPr>
          <w:bCs/>
          <w:sz w:val="21"/>
          <w:szCs w:val="21"/>
        </w:rPr>
      </w:pPr>
      <w:r>
        <w:rPr>
          <w:bCs/>
          <w:sz w:val="21"/>
          <w:szCs w:val="21"/>
        </w:rPr>
        <w:t>Si ricorda come sia</w:t>
      </w:r>
      <w:r w:rsidR="00D85672">
        <w:rPr>
          <w:bCs/>
          <w:sz w:val="21"/>
          <w:szCs w:val="21"/>
        </w:rPr>
        <w:t xml:space="preserve"> stata predisposta rev01/2023 del 3.7.2023 al fine di adeguamento al </w:t>
      </w:r>
      <w:proofErr w:type="spellStart"/>
      <w:r w:rsidR="00D85672">
        <w:rPr>
          <w:bCs/>
          <w:sz w:val="21"/>
          <w:szCs w:val="21"/>
        </w:rPr>
        <w:t>D.Lgs</w:t>
      </w:r>
      <w:proofErr w:type="spellEnd"/>
      <w:r w:rsidR="00D85672">
        <w:rPr>
          <w:bCs/>
          <w:sz w:val="21"/>
          <w:szCs w:val="21"/>
        </w:rPr>
        <w:t xml:space="preserve"> 24/2024 e rev04 del 19.12.2023, al fine di conformarsi alle Linee Guida Anac 311/2023. In particolare con detta ultima </w:t>
      </w:r>
      <w:r w:rsidR="00D85672" w:rsidRPr="003A2657">
        <w:rPr>
          <w:bCs/>
          <w:i/>
          <w:iCs/>
          <w:sz w:val="21"/>
          <w:szCs w:val="21"/>
        </w:rPr>
        <w:t>release</w:t>
      </w:r>
      <w:r>
        <w:rPr>
          <w:bCs/>
          <w:sz w:val="21"/>
          <w:szCs w:val="21"/>
        </w:rPr>
        <w:t xml:space="preserve">, attualmente in vigore, </w:t>
      </w:r>
      <w:r w:rsidR="00D85672" w:rsidRPr="00D85672">
        <w:rPr>
          <w:bCs/>
          <w:sz w:val="21"/>
          <w:szCs w:val="21"/>
        </w:rPr>
        <w:t>in forza di quanto precisato dall’Autorità con le Linee Guida di cui alla delibera 311 del 12.7.2023 (pubblicata in GU in data 25 luglio 2023 al n°172) nella nuova versione (rev02) è stata stralciata, rispetto alla precedente release della procedura (</w:t>
      </w:r>
      <w:proofErr w:type="spellStart"/>
      <w:r w:rsidR="00D85672" w:rsidRPr="00D85672">
        <w:rPr>
          <w:bCs/>
          <w:sz w:val="21"/>
          <w:szCs w:val="21"/>
        </w:rPr>
        <w:t>rev</w:t>
      </w:r>
      <w:proofErr w:type="spellEnd"/>
      <w:r w:rsidR="00D85672" w:rsidRPr="00D85672">
        <w:rPr>
          <w:bCs/>
          <w:sz w:val="21"/>
          <w:szCs w:val="21"/>
        </w:rPr>
        <w:t xml:space="preserve"> 01 del 04 giugno 2023), la possibilità di invio della segnalazione di apposito modulo all’indirizzo di posta elettronica del RPCT di </w:t>
      </w:r>
      <w:r w:rsidR="00D85672">
        <w:rPr>
          <w:bCs/>
          <w:sz w:val="21"/>
          <w:szCs w:val="21"/>
        </w:rPr>
        <w:t xml:space="preserve">ASP/EBS </w:t>
      </w:r>
      <w:r w:rsidR="00D85672" w:rsidRPr="00D85672">
        <w:rPr>
          <w:bCs/>
          <w:sz w:val="21"/>
          <w:szCs w:val="21"/>
        </w:rPr>
        <w:t>e previsto quale canale di segnalazione interno con modalità scritta unicamente la precitata piattaform</w:t>
      </w:r>
      <w:r w:rsidR="00D85672">
        <w:rPr>
          <w:bCs/>
          <w:sz w:val="21"/>
          <w:szCs w:val="21"/>
        </w:rPr>
        <w:t>a.</w:t>
      </w:r>
    </w:p>
    <w:p w14:paraId="780DFD37" w14:textId="3E00F793" w:rsidR="00334ECA" w:rsidRPr="00D85672" w:rsidRDefault="00334ECA" w:rsidP="00D85672">
      <w:pPr>
        <w:shd w:val="clear" w:color="auto" w:fill="FFFFFF"/>
        <w:spacing w:line="360" w:lineRule="auto"/>
        <w:ind w:left="851" w:right="780"/>
        <w:jc w:val="both"/>
        <w:rPr>
          <w:bCs/>
          <w:sz w:val="21"/>
          <w:szCs w:val="21"/>
        </w:rPr>
      </w:pPr>
      <w:r>
        <w:rPr>
          <w:bCs/>
          <w:sz w:val="21"/>
          <w:szCs w:val="21"/>
        </w:rPr>
        <w:lastRenderedPageBreak/>
        <w:t xml:space="preserve">RPCT </w:t>
      </w:r>
      <w:r w:rsidRPr="00334ECA">
        <w:rPr>
          <w:bCs/>
          <w:sz w:val="21"/>
          <w:szCs w:val="21"/>
        </w:rPr>
        <w:t xml:space="preserve">ha preso in esame le modifiche apportate da Anac con Delibera n. 479 del 26 novembre 2025 alle Linee Guida whistleblowing approvate con Delibera n. 311 del 12 luglio 2023 (Pubblicata nella Gazzetta Ufficiale Serie Generale n.172 del 25 luglio 2023). L’intervento dell’Autorità e le precisazioni operate non impattano sul sistema e sulla procedura adottata </w:t>
      </w:r>
      <w:r>
        <w:rPr>
          <w:bCs/>
          <w:sz w:val="21"/>
          <w:szCs w:val="21"/>
        </w:rPr>
        <w:t>da ASP / EBS</w:t>
      </w:r>
      <w:r w:rsidRPr="00334ECA">
        <w:rPr>
          <w:bCs/>
          <w:sz w:val="21"/>
          <w:szCs w:val="21"/>
        </w:rPr>
        <w:t>, tuttora conforme anche a valle della precitata Delibera 479/2025 (la quale ha ad oggetto le modalità di strutturazione del canale interno di segnalazione, la gestione delle segnalazioni anonime etc.).</w:t>
      </w:r>
    </w:p>
    <w:p w14:paraId="28404C61" w14:textId="27D95971" w:rsidR="004D18F9" w:rsidRPr="004D18F9" w:rsidRDefault="004D18F9" w:rsidP="007C78DE">
      <w:pPr>
        <w:pStyle w:val="Titolo1"/>
        <w:spacing w:line="360" w:lineRule="auto"/>
        <w:rPr>
          <w:smallCaps/>
        </w:rPr>
      </w:pPr>
      <w:bookmarkStart w:id="69" w:name="_Toc220506577"/>
      <w:r w:rsidRPr="007C78DE">
        <w:rPr>
          <w:smallCaps/>
        </w:rPr>
        <w:t>10.5</w:t>
      </w:r>
      <w:r w:rsidRPr="004D18F9">
        <w:rPr>
          <w:smallCaps/>
        </w:rPr>
        <w:t xml:space="preserve"> </w:t>
      </w:r>
      <w:bookmarkStart w:id="70" w:name="_Toc66185996"/>
      <w:r w:rsidRPr="004D18F9">
        <w:rPr>
          <w:smallCaps/>
        </w:rPr>
        <w:t>Formazione di Commissioni</w:t>
      </w:r>
      <w:bookmarkEnd w:id="69"/>
      <w:r w:rsidRPr="004D18F9">
        <w:rPr>
          <w:smallCaps/>
        </w:rPr>
        <w:t xml:space="preserve"> </w:t>
      </w:r>
      <w:bookmarkEnd w:id="70"/>
    </w:p>
    <w:p w14:paraId="45BEDE1C" w14:textId="77777777" w:rsidR="004D18F9" w:rsidRPr="004D18F9" w:rsidRDefault="004D18F9" w:rsidP="004D18F9">
      <w:pPr>
        <w:pStyle w:val="Corpotesto"/>
        <w:spacing w:line="360" w:lineRule="auto"/>
        <w:ind w:left="812" w:right="810"/>
        <w:jc w:val="both"/>
      </w:pPr>
      <w:r w:rsidRPr="004D18F9">
        <w:t>La Legge 190/2012 e il PNA 2019 introducono specifiche misure di prevenzione di carattere soggettivo, che mirano a prevenire i rischi di fenomeni corruttivi al momento della formazione degli organi deputati a prendere decisioni e ad esercitare il potere nelle amministrazioni, prevedendo specifici controlli in relazione all’assegnazione di incarichi per gli uffici considerati a più elevato rischio di corruzione, finalizzati in particolare a verificare l’assenza di condanna per reati contro la pubblica amministrazione.</w:t>
      </w:r>
    </w:p>
    <w:p w14:paraId="465BACD7" w14:textId="658F5C18" w:rsidR="004D18F9" w:rsidRPr="004D18F9" w:rsidRDefault="004D18F9" w:rsidP="004D18F9">
      <w:pPr>
        <w:pStyle w:val="Corpotesto"/>
        <w:spacing w:line="360" w:lineRule="auto"/>
        <w:ind w:left="812" w:right="810"/>
        <w:jc w:val="both"/>
      </w:pPr>
      <w:r w:rsidRPr="004D18F9">
        <w:t xml:space="preserve">Nel rispetto di quanto previsto da tali prescrizioni e in quanto e nei limiti </w:t>
      </w:r>
      <w:r>
        <w:t>alla realtà aziendale</w:t>
      </w:r>
      <w:r w:rsidRPr="004D18F9">
        <w:t xml:space="preserve"> applicabili, per i soggetti e nei casi rilevanti previsti nel PNA 2019, tra cui, a titolo esemplificativo e non esaustivo:</w:t>
      </w:r>
    </w:p>
    <w:p w14:paraId="460297AF" w14:textId="5FA4E62F" w:rsidR="004D18F9" w:rsidRPr="004D18F9" w:rsidRDefault="004D18F9" w:rsidP="00D506C9">
      <w:pPr>
        <w:pStyle w:val="Corpotesto"/>
        <w:numPr>
          <w:ilvl w:val="0"/>
          <w:numId w:val="26"/>
        </w:numPr>
        <w:spacing w:line="360" w:lineRule="auto"/>
        <w:ind w:left="851" w:right="810" w:firstLine="0"/>
        <w:jc w:val="both"/>
      </w:pPr>
      <w:r w:rsidRPr="004D18F9">
        <w:t>formazione di commissioni per affidament</w:t>
      </w:r>
      <w:r>
        <w:t>i / gare</w:t>
      </w:r>
      <w:r w:rsidRPr="004D18F9">
        <w:t>;</w:t>
      </w:r>
    </w:p>
    <w:p w14:paraId="6C81FDC5" w14:textId="77777777" w:rsidR="004D18F9" w:rsidRPr="004D18F9" w:rsidRDefault="004D18F9" w:rsidP="00D506C9">
      <w:pPr>
        <w:pStyle w:val="Corpotesto"/>
        <w:numPr>
          <w:ilvl w:val="0"/>
          <w:numId w:val="26"/>
        </w:numPr>
        <w:spacing w:line="360" w:lineRule="auto"/>
        <w:ind w:left="851" w:right="810" w:firstLine="0"/>
        <w:jc w:val="both"/>
      </w:pPr>
      <w:r w:rsidRPr="004D18F9">
        <w:t>formazione di commissioni per assunzioni;</w:t>
      </w:r>
    </w:p>
    <w:p w14:paraId="1476CD1C" w14:textId="2D066F58" w:rsidR="004D18F9" w:rsidRPr="004D18F9" w:rsidRDefault="004D18F9" w:rsidP="004D18F9">
      <w:pPr>
        <w:pStyle w:val="Corpotesto"/>
        <w:spacing w:line="360" w:lineRule="auto"/>
        <w:ind w:left="812" w:right="810"/>
        <w:jc w:val="both"/>
      </w:pPr>
      <w:r w:rsidRPr="004D18F9">
        <w:t>sono effettuate verifiche ai fini di</w:t>
      </w:r>
      <w:r>
        <w:t xml:space="preserve"> </w:t>
      </w:r>
      <w:r w:rsidRPr="004D18F9">
        <w:t>controllare eventuali precedenti penali per delitti contro la Pubblica Amministrazione prima dell’assegnazione dell’incarico;</w:t>
      </w:r>
    </w:p>
    <w:p w14:paraId="2FF76929" w14:textId="77777777" w:rsidR="004D18F9" w:rsidRPr="004D18F9" w:rsidRDefault="004D18F9" w:rsidP="000D4CC3">
      <w:pPr>
        <w:pStyle w:val="Corpotesto"/>
        <w:spacing w:line="360" w:lineRule="auto"/>
        <w:ind w:left="812" w:right="810"/>
        <w:jc w:val="both"/>
      </w:pPr>
      <w:r w:rsidRPr="004D18F9">
        <w:t>Nel momento della formazione delle commissioni e negli altri casi previsti, deve essere richiesta agli interessati:</w:t>
      </w:r>
    </w:p>
    <w:p w14:paraId="418A27A1" w14:textId="77777777" w:rsidR="004D18F9" w:rsidRPr="004D18F9" w:rsidRDefault="004D18F9" w:rsidP="00D506C9">
      <w:pPr>
        <w:pStyle w:val="Corpotesto"/>
        <w:numPr>
          <w:ilvl w:val="0"/>
          <w:numId w:val="26"/>
        </w:numPr>
        <w:spacing w:line="360" w:lineRule="auto"/>
        <w:ind w:left="851" w:right="810" w:firstLine="175"/>
        <w:jc w:val="both"/>
      </w:pPr>
      <w:r w:rsidRPr="004D18F9">
        <w:t>certificazione attestante l’assenza di precedenti penali (es. copia del fascicolo personale del casellario giudiziario);</w:t>
      </w:r>
    </w:p>
    <w:p w14:paraId="6C1F2E3E" w14:textId="77777777" w:rsidR="004D18F9" w:rsidRPr="004D18F9" w:rsidRDefault="004D18F9" w:rsidP="00D506C9">
      <w:pPr>
        <w:pStyle w:val="Corpotesto"/>
        <w:numPr>
          <w:ilvl w:val="0"/>
          <w:numId w:val="26"/>
        </w:numPr>
        <w:spacing w:line="360" w:lineRule="auto"/>
        <w:ind w:left="851" w:right="810" w:firstLine="175"/>
        <w:jc w:val="both"/>
      </w:pPr>
      <w:r w:rsidRPr="004D18F9">
        <w:t>(in alternativa) dichiarazione sostitutiva di tale certificazione, resa dall’interessato sotto propria responsabilità;</w:t>
      </w:r>
    </w:p>
    <w:p w14:paraId="033DE9CD" w14:textId="77777777" w:rsidR="004D18F9" w:rsidRPr="004D18F9" w:rsidRDefault="004D18F9" w:rsidP="00D506C9">
      <w:pPr>
        <w:pStyle w:val="Corpotesto"/>
        <w:numPr>
          <w:ilvl w:val="0"/>
          <w:numId w:val="26"/>
        </w:numPr>
        <w:spacing w:line="360" w:lineRule="auto"/>
        <w:ind w:left="851" w:right="810" w:firstLine="175"/>
        <w:jc w:val="both"/>
      </w:pPr>
      <w:r w:rsidRPr="004D18F9">
        <w:t>in detto momento o in ogni caso preliminarmente all’avvio delle attività della Commissione deve essere ottenuta dai membri della commissione apposita dichiarazione attestante l’assenza di situazioni di conflitto di interesse rispetto ai partecipanti alla gara / selezione.</w:t>
      </w:r>
    </w:p>
    <w:p w14:paraId="793F18E3" w14:textId="77777777" w:rsidR="004D18F9" w:rsidRPr="004D18F9" w:rsidRDefault="004D18F9" w:rsidP="004D18F9">
      <w:pPr>
        <w:pStyle w:val="Corpotesto"/>
        <w:spacing w:line="360" w:lineRule="auto"/>
        <w:ind w:left="812" w:right="810"/>
        <w:jc w:val="both"/>
      </w:pPr>
      <w:r w:rsidRPr="004D18F9">
        <w:t>Il RPCT ha la responsabilità di accertare il rispetto di tali disposizioni e può, pertanto, eseguire controlli a campione sulle dichiarazioni e sulla documentazione acquisita.</w:t>
      </w:r>
    </w:p>
    <w:p w14:paraId="04AABE3F" w14:textId="0B38C9FE" w:rsidR="004D18F9" w:rsidRPr="004D18F9" w:rsidRDefault="004D18F9" w:rsidP="004D18F9">
      <w:pPr>
        <w:pStyle w:val="Corpotesto"/>
        <w:spacing w:line="360" w:lineRule="auto"/>
        <w:ind w:left="812" w:right="810"/>
        <w:jc w:val="both"/>
      </w:pPr>
      <w:r w:rsidRPr="004D18F9">
        <w:t>Qualora dovessero emergere procedimenti penali per delitti contro la PA, il RPCT si attiva e sentito l’Organo Amministrativo, per valutare la sospensione del conferimento dell’incarico.</w:t>
      </w:r>
    </w:p>
    <w:p w14:paraId="37734BD7" w14:textId="5D31361E" w:rsidR="004D18F9" w:rsidRDefault="004D18F9" w:rsidP="002034D7">
      <w:pPr>
        <w:pStyle w:val="Corpotesto"/>
        <w:spacing w:line="360" w:lineRule="auto"/>
        <w:ind w:left="812" w:right="810"/>
        <w:jc w:val="both"/>
      </w:pPr>
    </w:p>
    <w:p w14:paraId="077FABD7" w14:textId="35F59942" w:rsidR="004D18F9" w:rsidRPr="007C78DE" w:rsidRDefault="004D18F9" w:rsidP="007C78DE">
      <w:pPr>
        <w:pStyle w:val="Titolo1"/>
        <w:spacing w:line="360" w:lineRule="auto"/>
        <w:ind w:left="851" w:firstLine="0"/>
        <w:rPr>
          <w:smallCaps/>
        </w:rPr>
      </w:pPr>
      <w:bookmarkStart w:id="71" w:name="_Toc220506578"/>
      <w:r w:rsidRPr="007C78DE">
        <w:rPr>
          <w:smallCaps/>
        </w:rPr>
        <w:lastRenderedPageBreak/>
        <w:t xml:space="preserve">10.6 </w:t>
      </w:r>
      <w:r w:rsidRPr="004D18F9">
        <w:rPr>
          <w:smallCaps/>
        </w:rPr>
        <w:t>Casi Particolari</w:t>
      </w:r>
      <w:r w:rsidRPr="007C78DE">
        <w:rPr>
          <w:smallCaps/>
        </w:rPr>
        <w:t xml:space="preserve">: </w:t>
      </w:r>
      <w:proofErr w:type="spellStart"/>
      <w:r w:rsidRPr="007C78DE">
        <w:rPr>
          <w:smallCaps/>
        </w:rPr>
        <w:t>Inconferibilita’</w:t>
      </w:r>
      <w:proofErr w:type="spellEnd"/>
      <w:r w:rsidRPr="007C78DE">
        <w:rPr>
          <w:smallCaps/>
        </w:rPr>
        <w:t xml:space="preserve"> ed Incompatibilità per incarichi dirigenziali</w:t>
      </w:r>
      <w:bookmarkEnd w:id="71"/>
    </w:p>
    <w:p w14:paraId="6045971E" w14:textId="70909918" w:rsidR="004D18F9" w:rsidRDefault="007C78DE" w:rsidP="007C78DE">
      <w:pPr>
        <w:pStyle w:val="Corpotesto"/>
        <w:spacing w:line="360" w:lineRule="auto"/>
        <w:ind w:left="851" w:right="810"/>
        <w:jc w:val="both"/>
      </w:pPr>
      <w:r>
        <w:t xml:space="preserve">Il </w:t>
      </w:r>
      <w:r w:rsidRPr="007C78DE">
        <w:t>D.lgs. n. 39/ 2013, recante “</w:t>
      </w:r>
      <w:r w:rsidRPr="007C78DE">
        <w:rPr>
          <w:i/>
          <w:iCs/>
        </w:rPr>
        <w:t>Disposizioni in materia di inconferibilità e incompatibilità di incarichi presso le pubbliche amministrazioni e presso gli enti privati in controllo pubblico, a norma dell'articolo 1, commi 49 e 50, della legge 6 novembre 2012, n. 190</w:t>
      </w:r>
      <w:r w:rsidRPr="007C78DE">
        <w:t>”, ha disciplinato alcune specifiche ipotesi di inconferibilità per incarichi dirigenziali o incarichi a questi assimilati, incarichi di amministratore delegato, presidente con deleghe gestionali dirette e di altro organo di indirizzo dell’attività dell’ente, con particolare riferimento a situazioni in cui tali soggetti siano stati destinatari di sentenze di condanna per delitti contro la pubblica amministrazione, nonché negli altri casi previsti dal decreto.</w:t>
      </w:r>
    </w:p>
    <w:p w14:paraId="764E1E68" w14:textId="634B71A6" w:rsidR="007C78DE" w:rsidRDefault="007C78DE" w:rsidP="007C78DE">
      <w:pPr>
        <w:pStyle w:val="Corpotesto"/>
        <w:spacing w:line="360" w:lineRule="auto"/>
        <w:ind w:left="851" w:right="810"/>
        <w:jc w:val="both"/>
      </w:pPr>
      <w:r>
        <w:t>La norma in questione -stante l’assenza di ulteriori posizioni dirigenziali o ad esse assimilabili, risulta applicabile unicamente all’organo gestorio (Commissario Straordinario / AU), il che rende superflua l’adozione di una specifica misura al riguardo.</w:t>
      </w:r>
    </w:p>
    <w:p w14:paraId="6053CE09" w14:textId="77777777" w:rsidR="007C78DE" w:rsidRPr="007C78DE" w:rsidRDefault="007C78DE" w:rsidP="007C78DE">
      <w:pPr>
        <w:pStyle w:val="Corpotesto"/>
        <w:spacing w:line="360" w:lineRule="auto"/>
        <w:ind w:left="851" w:right="810"/>
        <w:jc w:val="both"/>
      </w:pPr>
    </w:p>
    <w:p w14:paraId="43F613E2" w14:textId="4E4B29B5" w:rsidR="004D18F9" w:rsidRPr="007C78DE" w:rsidRDefault="004D18F9" w:rsidP="007C78DE">
      <w:pPr>
        <w:pStyle w:val="Titolo1"/>
        <w:spacing w:line="360" w:lineRule="auto"/>
        <w:ind w:left="851" w:firstLine="0"/>
        <w:rPr>
          <w:smallCaps/>
        </w:rPr>
      </w:pPr>
      <w:bookmarkStart w:id="72" w:name="_Toc220506579"/>
      <w:r w:rsidRPr="007C78DE">
        <w:rPr>
          <w:smallCaps/>
        </w:rPr>
        <w:t>10.7 Formazione ed Informazione</w:t>
      </w:r>
      <w:bookmarkEnd w:id="72"/>
      <w:r w:rsidRPr="007C78DE">
        <w:rPr>
          <w:smallCaps/>
        </w:rPr>
        <w:t xml:space="preserve"> </w:t>
      </w:r>
    </w:p>
    <w:p w14:paraId="2010F80E" w14:textId="1CA9C18F" w:rsidR="001F0066" w:rsidRDefault="00EE2012" w:rsidP="002034D7">
      <w:pPr>
        <w:pStyle w:val="Corpotesto"/>
        <w:spacing w:line="360" w:lineRule="auto"/>
        <w:ind w:left="812" w:right="810"/>
        <w:jc w:val="both"/>
      </w:pPr>
      <w:r>
        <w:t>La formazione costituisce uno strumento imprescindibile per un’efficace implementazione delle prescrizioni di cui alla LEGGE 190/2012, al fine di consentire diffusione capillare dei principi di comportamento e di c</w:t>
      </w:r>
      <w:r w:rsidR="00D70AAE">
        <w:t>ontrollo adottati dalla Società</w:t>
      </w:r>
      <w:r>
        <w:t>.</w:t>
      </w:r>
    </w:p>
    <w:p w14:paraId="4608EAA1" w14:textId="74895888" w:rsidR="001F0066" w:rsidRDefault="00EE2012" w:rsidP="002034D7">
      <w:pPr>
        <w:pStyle w:val="Corpotesto"/>
        <w:spacing w:before="199" w:line="360" w:lineRule="auto"/>
        <w:ind w:left="812" w:right="808"/>
        <w:jc w:val="both"/>
      </w:pPr>
      <w:proofErr w:type="spellStart"/>
      <w:r>
        <w:t>Eb</w:t>
      </w:r>
      <w:r w:rsidR="00170153">
        <w:t>s</w:t>
      </w:r>
      <w:proofErr w:type="spellEnd"/>
      <w:r>
        <w:t xml:space="preserve"> </w:t>
      </w:r>
      <w:r w:rsidR="00D70AAE">
        <w:t xml:space="preserve">–stante la circostanza che ASP è priva di personale dipendente- </w:t>
      </w:r>
      <w:r>
        <w:t xml:space="preserve">ha provveduto, nel corso </w:t>
      </w:r>
      <w:r w:rsidR="006131E7">
        <w:t>del periodo 2015-202</w:t>
      </w:r>
      <w:r w:rsidR="003A2657">
        <w:t>4</w:t>
      </w:r>
      <w:r>
        <w:t xml:space="preserve"> ad espletare attività informativa / formativa:</w:t>
      </w:r>
    </w:p>
    <w:p w14:paraId="5F1E0F82" w14:textId="77777777" w:rsidR="001F0066" w:rsidRDefault="00EE2012" w:rsidP="002034D7">
      <w:pPr>
        <w:pStyle w:val="Paragrafoelenco"/>
        <w:numPr>
          <w:ilvl w:val="0"/>
          <w:numId w:val="1"/>
        </w:numPr>
        <w:tabs>
          <w:tab w:val="left" w:pos="1107"/>
        </w:tabs>
        <w:spacing w:before="200" w:line="360" w:lineRule="auto"/>
        <w:ind w:right="823" w:firstLine="0"/>
        <w:jc w:val="both"/>
        <w:rPr>
          <w:sz w:val="21"/>
        </w:rPr>
      </w:pPr>
      <w:r>
        <w:rPr>
          <w:sz w:val="21"/>
        </w:rPr>
        <w:t>a tutto il personale sui temi dell’etica e della legalità, con particolare riferimento ai contenuti del Codice di comportamento dei pubblici</w:t>
      </w:r>
      <w:r>
        <w:rPr>
          <w:spacing w:val="-16"/>
          <w:sz w:val="21"/>
        </w:rPr>
        <w:t xml:space="preserve"> </w:t>
      </w:r>
      <w:r>
        <w:rPr>
          <w:sz w:val="21"/>
        </w:rPr>
        <w:t>dipendenti;</w:t>
      </w:r>
      <w:r w:rsidR="00D70AAE">
        <w:rPr>
          <w:sz w:val="21"/>
        </w:rPr>
        <w:t xml:space="preserve"> la partecipazione alle sessioni formative sono state formalizzate tramite sottoscrizione di fogli presenza;</w:t>
      </w:r>
    </w:p>
    <w:p w14:paraId="1F45D315" w14:textId="77777777" w:rsidR="001F0066" w:rsidRDefault="00EE2012" w:rsidP="002034D7">
      <w:pPr>
        <w:pStyle w:val="Paragrafoelenco"/>
        <w:numPr>
          <w:ilvl w:val="0"/>
          <w:numId w:val="1"/>
        </w:numPr>
        <w:tabs>
          <w:tab w:val="left" w:pos="1083"/>
        </w:tabs>
        <w:spacing w:before="201" w:line="360" w:lineRule="auto"/>
        <w:ind w:right="810" w:firstLine="0"/>
        <w:jc w:val="both"/>
        <w:rPr>
          <w:sz w:val="21"/>
        </w:rPr>
      </w:pPr>
      <w:r>
        <w:rPr>
          <w:sz w:val="21"/>
        </w:rPr>
        <w:t>al personale addetto alle aree di maggiore rischio, tramite incontri collegiali, finalizzati alla introduzione di nuove procedure aziendali e/o alla modifica di quelle</w:t>
      </w:r>
      <w:r>
        <w:rPr>
          <w:spacing w:val="-21"/>
          <w:sz w:val="21"/>
        </w:rPr>
        <w:t xml:space="preserve"> </w:t>
      </w:r>
      <w:r>
        <w:rPr>
          <w:sz w:val="21"/>
        </w:rPr>
        <w:t>esistenti.</w:t>
      </w:r>
    </w:p>
    <w:p w14:paraId="54BF92D6" w14:textId="53670749" w:rsidR="001F0066" w:rsidRDefault="00EE2012" w:rsidP="002034D7">
      <w:pPr>
        <w:pStyle w:val="Corpotesto"/>
        <w:spacing w:before="200" w:line="360" w:lineRule="auto"/>
        <w:ind w:left="812" w:right="810"/>
        <w:jc w:val="both"/>
      </w:pPr>
      <w:r>
        <w:t xml:space="preserve">La medesima attività, tramite lo svolgimento di specifici moduli, </w:t>
      </w:r>
      <w:r w:rsidR="006131E7">
        <w:t xml:space="preserve">è stata erogata alle aree a maggiore rischio nel corso del 2020, tramite corso </w:t>
      </w:r>
      <w:proofErr w:type="spellStart"/>
      <w:r w:rsidR="006131E7" w:rsidRPr="006131E7">
        <w:rPr>
          <w:i/>
          <w:iCs/>
        </w:rPr>
        <w:t>inhouse</w:t>
      </w:r>
      <w:proofErr w:type="spellEnd"/>
      <w:r w:rsidR="006131E7">
        <w:t xml:space="preserve"> tenuto da RPCT ed </w:t>
      </w:r>
      <w:proofErr w:type="spellStart"/>
      <w:r w:rsidR="006131E7">
        <w:t>OdV</w:t>
      </w:r>
      <w:proofErr w:type="spellEnd"/>
      <w:r w:rsidR="006131E7">
        <w:t>, con illustrazione di slides e successivo test di apprendimento, il cui esito è risultato positivo.</w:t>
      </w:r>
    </w:p>
    <w:p w14:paraId="328F53B6" w14:textId="3C25522D" w:rsidR="006131E7" w:rsidRDefault="006131E7" w:rsidP="002034D7">
      <w:pPr>
        <w:pStyle w:val="Corpotesto"/>
        <w:spacing w:before="200" w:line="360" w:lineRule="auto"/>
        <w:ind w:left="812" w:right="810"/>
        <w:jc w:val="both"/>
      </w:pPr>
      <w:r>
        <w:t>Per altro verso è continuata la erogazione di formazione in materia di 231 e legge 190 al personale operativo, inserendo detto momento formativo in seno alla formazione obbligatoria di legge.</w:t>
      </w:r>
    </w:p>
    <w:p w14:paraId="7ECE6EFF" w14:textId="4F004DD4" w:rsidR="006131E7" w:rsidRDefault="006131E7" w:rsidP="002034D7">
      <w:pPr>
        <w:pStyle w:val="Corpotesto"/>
        <w:spacing w:before="200" w:line="360" w:lineRule="auto"/>
        <w:ind w:left="812" w:right="810"/>
        <w:jc w:val="both"/>
      </w:pPr>
      <w:r>
        <w:t>Nel corso del 202</w:t>
      </w:r>
      <w:r w:rsidR="00334ECA">
        <w:t>6</w:t>
      </w:r>
      <w:r>
        <w:t xml:space="preserve"> si ritiene di riproporre analoghi moduli formativi.</w:t>
      </w:r>
    </w:p>
    <w:p w14:paraId="140D1EB6" w14:textId="77777777" w:rsidR="007C78DE" w:rsidRDefault="007C78DE" w:rsidP="002034D7">
      <w:pPr>
        <w:pStyle w:val="Corpotesto"/>
        <w:spacing w:before="200" w:line="360" w:lineRule="auto"/>
        <w:ind w:left="812" w:right="810"/>
        <w:jc w:val="both"/>
      </w:pPr>
    </w:p>
    <w:p w14:paraId="5A38E54F" w14:textId="24E98D65" w:rsidR="007C78DE" w:rsidRPr="007C78DE" w:rsidRDefault="007C78DE" w:rsidP="007C78DE">
      <w:pPr>
        <w:pStyle w:val="Titolo1"/>
        <w:spacing w:line="360" w:lineRule="auto"/>
        <w:ind w:left="851" w:firstLine="0"/>
        <w:rPr>
          <w:smallCaps/>
        </w:rPr>
      </w:pPr>
      <w:bookmarkStart w:id="73" w:name="_Toc66185999"/>
      <w:bookmarkStart w:id="74" w:name="_Toc220506580"/>
      <w:r w:rsidRPr="007C78DE">
        <w:rPr>
          <w:smallCaps/>
        </w:rPr>
        <w:lastRenderedPageBreak/>
        <w:t>10</w:t>
      </w:r>
      <w:r>
        <w:rPr>
          <w:smallCaps/>
        </w:rPr>
        <w:t>.8</w:t>
      </w:r>
      <w:r w:rsidRPr="007C78DE">
        <w:rPr>
          <w:smallCaps/>
        </w:rPr>
        <w:t xml:space="preserve"> Patti di Integrità negli Affidamenti</w:t>
      </w:r>
      <w:bookmarkEnd w:id="73"/>
      <w:bookmarkEnd w:id="74"/>
      <w:r w:rsidRPr="007C78DE">
        <w:rPr>
          <w:smallCaps/>
        </w:rPr>
        <w:t xml:space="preserve"> </w:t>
      </w:r>
    </w:p>
    <w:p w14:paraId="53C1F611" w14:textId="77777777" w:rsidR="007C78DE" w:rsidRPr="007C78DE" w:rsidRDefault="007C78DE" w:rsidP="005E2351">
      <w:pPr>
        <w:pStyle w:val="Corpotesto"/>
        <w:spacing w:before="200" w:line="360" w:lineRule="auto"/>
        <w:ind w:left="812" w:right="810"/>
        <w:jc w:val="both"/>
      </w:pPr>
      <w:r w:rsidRPr="007C78DE">
        <w:t>In attuazione dell’art. 1, comma 17 della L. 190/2012, le Pubbliche Amministrazioni, di regola, predispongono e utilizzano Patti d’integrità e protocolli di legalità negli affidamenti di contratti pubblici di lavori, servizi e forniture. A tal fine, esse sono tenute ad inserire negli avvisi, nei bandi di gara e nelle lettere di invito una clausola di salvaguardia, secondo la quale il mancato rispetto del protocollo di legalità o del patto d’integrità stipulati dà luogo all’esclusione dalla gara e alla risoluzione del contratto. Il Patto di Integrità rappresenta un complesso di regole di comportamento che rafforzano condotte già doverose per coloro che sono ammessi a partecipare alla gara, in funzione di prevenzione del fenomeno corruttivo, con particolare riferimento alla prevenzione di eventuali tentativi di infiltrazione della criminalità nel delicato settore dei contratti pubblici e al fine di valorizzare comportamenti eticamente adeguati per tutti gli operatori economici.</w:t>
      </w:r>
    </w:p>
    <w:p w14:paraId="5309D95E" w14:textId="77777777" w:rsidR="007C78DE" w:rsidRPr="007C78DE" w:rsidRDefault="007C78DE" w:rsidP="005E2351">
      <w:pPr>
        <w:pStyle w:val="Corpotesto"/>
        <w:spacing w:before="200" w:line="360" w:lineRule="auto"/>
        <w:ind w:left="812" w:right="810"/>
        <w:jc w:val="both"/>
      </w:pPr>
      <w:r w:rsidRPr="007C78DE">
        <w:t>L’A.V.C.P. con determinazione n. 4 del 2012 si è pronunciata circa la legittimità di prescrivere l’inserimento di clausole contrattuali che impongono obblighi in materia di contrasto delle infiltrazioni criminali negli appalti nell’ambito di protocolli di legalità/patti di integrità. Nella determinazione si precisa che “</w:t>
      </w:r>
      <w:r w:rsidRPr="007C78DE">
        <w:rPr>
          <w:i/>
        </w:rPr>
        <w:t>mediante l’accettazione delle clausole sancite nei protocolli di legalità al momento della presentazione della domanda di partecipazione e/o dell’offerta, infatti, l’impresa concorrente accetta, in realtà, regole che rafforzano comportamenti già doverosi per coloro che sono ammessi a partecipare alla gara e che prevedono, in caso di violazione di tali doveri, sanzioni di carattere patrimoniale, oltre alla conseguenza, comune a tutte le procedure concorsuali, della estromissione dalla gara (cfr. Cons. St., 8 maggio 2012, n. 2657; Cons. St., 9 settembre 2011, n. 5066)</w:t>
      </w:r>
      <w:r w:rsidRPr="007C78DE">
        <w:t>”.</w:t>
      </w:r>
    </w:p>
    <w:p w14:paraId="3BE4DA45" w14:textId="77777777" w:rsidR="007C78DE" w:rsidRPr="007C78DE" w:rsidRDefault="007C78DE" w:rsidP="005E2351">
      <w:pPr>
        <w:pStyle w:val="Corpotesto"/>
        <w:spacing w:before="200" w:line="360" w:lineRule="auto"/>
        <w:ind w:left="812" w:right="810"/>
        <w:jc w:val="both"/>
      </w:pPr>
      <w:r w:rsidRPr="007C78DE">
        <w:t>La violazione del suddetto Protocollo comporta l’esclusione dalla procedura, la revoca dell’aggiudicazione e la risoluzione di diritto del contratto eventualmente sottoscritto. In ogni caso, alla dichiarazione di violazione, consegue la segnalazione del fatto all’A.N.AC. e alle competenti Autorità.</w:t>
      </w:r>
    </w:p>
    <w:p w14:paraId="41E9D90C" w14:textId="6164D7CD" w:rsidR="007C78DE" w:rsidRPr="007C78DE" w:rsidRDefault="004A315A" w:rsidP="004A315A">
      <w:pPr>
        <w:pStyle w:val="Titolo1"/>
        <w:spacing w:line="360" w:lineRule="auto"/>
        <w:ind w:left="851" w:firstLine="0"/>
        <w:rPr>
          <w:smallCaps/>
        </w:rPr>
      </w:pPr>
      <w:bookmarkStart w:id="75" w:name="_Toc66186000"/>
      <w:bookmarkStart w:id="76" w:name="_Toc220506581"/>
      <w:r>
        <w:rPr>
          <w:smallCaps/>
        </w:rPr>
        <w:t>10</w:t>
      </w:r>
      <w:r w:rsidR="007C78DE" w:rsidRPr="007C78DE">
        <w:rPr>
          <w:smallCaps/>
        </w:rPr>
        <w:t>.9 Limiti al ricorso all’Arbitrato</w:t>
      </w:r>
      <w:bookmarkEnd w:id="75"/>
      <w:bookmarkEnd w:id="76"/>
    </w:p>
    <w:p w14:paraId="43386FA9" w14:textId="61A02872" w:rsidR="007C78DE" w:rsidRPr="007C78DE" w:rsidRDefault="007C78DE" w:rsidP="004A315A">
      <w:pPr>
        <w:pStyle w:val="Corpotesto"/>
        <w:spacing w:before="200" w:line="360" w:lineRule="auto"/>
        <w:ind w:left="812" w:right="810"/>
        <w:jc w:val="both"/>
      </w:pPr>
      <w:r w:rsidRPr="007C78DE">
        <w:t xml:space="preserve">Ai sensi del Codice degli Appalti le controversie su diritti soggettivi, derivanti dall'esecuzione dei contratti pubblici relativi a lavori, servizi, forniture, concorsi di progettazione e di idee, comprese quelle conseguenti al mancato raggiungimento dell'accordo bonario possono essere deferite ad arbitri. L’arbitrato, ai sensi dell’articolo 1, comma 20, della legge 6 novembre 2012, n. 190, si applica anche alle controversie relative a </w:t>
      </w:r>
      <w:r w:rsidR="004A315A">
        <w:t>(</w:t>
      </w:r>
      <w:r w:rsidRPr="007C78DE">
        <w:t>concessioni e</w:t>
      </w:r>
      <w:r w:rsidR="004A315A">
        <w:t>)</w:t>
      </w:r>
      <w:r w:rsidRPr="007C78DE">
        <w:t xml:space="preserve"> appalti pubblici di opere, servizi e forniture in cui sia parte una società a partecipazione pubblica ovvero una società controllata o collegata a una società a partecipazione pubblica, ai sensi </w:t>
      </w:r>
      <w:r w:rsidRPr="007C78DE">
        <w:lastRenderedPageBreak/>
        <w:t>dell’articolo 2359 del codice civile, o che comunque abbiano ad oggetto opere o forniture finanziate con risorse a carico dei bilanci pubblici.</w:t>
      </w:r>
    </w:p>
    <w:p w14:paraId="6720791D" w14:textId="097B0FBC" w:rsidR="007C78DE" w:rsidRPr="007C78DE" w:rsidRDefault="007C78DE" w:rsidP="004A315A">
      <w:pPr>
        <w:pStyle w:val="Corpotesto"/>
        <w:spacing w:before="200" w:line="360" w:lineRule="auto"/>
        <w:ind w:left="812" w:right="810"/>
        <w:jc w:val="both"/>
      </w:pPr>
      <w:r w:rsidRPr="007C78DE">
        <w:t xml:space="preserve">Il ricorso all’arbitrato è legittimo solo ove sussista la preventiva autorizzazione motivata da parte dell’Organo Amministrativo. </w:t>
      </w:r>
      <w:r w:rsidR="004A315A">
        <w:t>ASP ed EBS</w:t>
      </w:r>
      <w:r w:rsidRPr="007C78DE">
        <w:t xml:space="preserve"> non preved</w:t>
      </w:r>
      <w:r w:rsidR="004A315A">
        <w:t>ono nella propria contrattualistica standard</w:t>
      </w:r>
      <w:r w:rsidRPr="007C78DE">
        <w:t xml:space="preserve"> la clausola compromissoria e qualora l’operatore economico dovesse chiederne l’applicazione, </w:t>
      </w:r>
      <w:r w:rsidR="004A315A">
        <w:t>i responsabili dovranno presentare</w:t>
      </w:r>
      <w:r w:rsidRPr="007C78DE">
        <w:t xml:space="preserve"> presenta la richiesta all’Organo Amministrativo che la valut</w:t>
      </w:r>
      <w:r w:rsidR="004A315A">
        <w:t>erà</w:t>
      </w:r>
      <w:r w:rsidRPr="007C78DE">
        <w:t xml:space="preserve"> al fine di concedere l’eventuale autorizzazione, informando del ricorso all’arbitrato RPCT.</w:t>
      </w:r>
    </w:p>
    <w:p w14:paraId="63D33BC1" w14:textId="46C6C37F" w:rsidR="007C78DE" w:rsidRDefault="007C78DE" w:rsidP="004A315A">
      <w:pPr>
        <w:pStyle w:val="Corpotesto"/>
        <w:spacing w:before="200" w:line="360" w:lineRule="auto"/>
        <w:ind w:left="812" w:right="810"/>
        <w:jc w:val="both"/>
      </w:pPr>
      <w:r w:rsidRPr="007C78DE">
        <w:t>Nell’eventuale caso di nomina di arbitri in conformità a quanto sopra enunciato, si opera nel rispetto dei principi di pubblicità e di rotazione e delle disposizioni previste dalla L. 190/2012 e dal D.lgs. 50/2016.</w:t>
      </w:r>
    </w:p>
    <w:p w14:paraId="6F15EE54" w14:textId="73DFE964" w:rsidR="00CF0CC5" w:rsidRPr="00CF0CC5" w:rsidRDefault="004A315A" w:rsidP="004A315A">
      <w:pPr>
        <w:pStyle w:val="Titolo1"/>
        <w:spacing w:line="360" w:lineRule="auto"/>
        <w:ind w:left="851" w:firstLine="0"/>
        <w:rPr>
          <w:smallCaps/>
        </w:rPr>
      </w:pPr>
      <w:bookmarkStart w:id="77" w:name="_TOC_250007"/>
      <w:bookmarkStart w:id="78" w:name="_Toc220506582"/>
      <w:r>
        <w:rPr>
          <w:smallCaps/>
        </w:rPr>
        <w:t xml:space="preserve">11. </w:t>
      </w:r>
      <w:r w:rsidR="00D352E4">
        <w:rPr>
          <w:smallCaps/>
        </w:rPr>
        <w:t>Programma Misure Generali e loro</w:t>
      </w:r>
      <w:r w:rsidR="00CF0CC5" w:rsidRPr="00CF0CC5">
        <w:rPr>
          <w:smallCaps/>
        </w:rPr>
        <w:t xml:space="preserve"> </w:t>
      </w:r>
      <w:r w:rsidR="00D352E4">
        <w:rPr>
          <w:smallCaps/>
        </w:rPr>
        <w:t>A</w:t>
      </w:r>
      <w:r w:rsidR="00CF0CC5" w:rsidRPr="00CF0CC5">
        <w:rPr>
          <w:smallCaps/>
        </w:rPr>
        <w:t>ttuazione</w:t>
      </w:r>
      <w:bookmarkEnd w:id="77"/>
      <w:bookmarkEnd w:id="78"/>
    </w:p>
    <w:p w14:paraId="382A7D3F" w14:textId="72855767" w:rsidR="00CF0CC5" w:rsidRPr="00CF0CC5" w:rsidRDefault="00CF0CC5" w:rsidP="003A2657">
      <w:pPr>
        <w:pStyle w:val="Corpotesto"/>
        <w:spacing w:line="360" w:lineRule="auto"/>
        <w:ind w:left="812" w:right="810"/>
        <w:jc w:val="both"/>
      </w:pPr>
      <w:r w:rsidRPr="00CF0CC5">
        <w:t xml:space="preserve">Di seguito si riporta una sintesi del programma di attuazione delle misure, espresso in termini di target, il cui raggiungimento sarà </w:t>
      </w:r>
      <w:r w:rsidR="004A315A">
        <w:t>valutato</w:t>
      </w:r>
      <w:r w:rsidRPr="00CF0CC5">
        <w:t xml:space="preserve"> mediante l’utilizzo di specifici indicatori.</w:t>
      </w:r>
    </w:p>
    <w:p w14:paraId="11C84FCF" w14:textId="77777777" w:rsidR="00CF0CC5" w:rsidRPr="00CF0CC5" w:rsidRDefault="00CF0CC5" w:rsidP="003A2657">
      <w:pPr>
        <w:pStyle w:val="Corpotesto"/>
        <w:spacing w:line="360" w:lineRule="auto"/>
        <w:ind w:left="812" w:right="810"/>
        <w:jc w:val="both"/>
      </w:pPr>
      <w:r w:rsidRPr="00CF0CC5">
        <w:t>Per ciascuna misura generale sono individuate: la tempistica di attuazione e gli indicatori in grado di attestarne l’effettiva attivazione.</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8"/>
        <w:gridCol w:w="2028"/>
        <w:gridCol w:w="2387"/>
        <w:gridCol w:w="2421"/>
      </w:tblGrid>
      <w:tr w:rsidR="00CF0CC5" w:rsidRPr="00CF0CC5" w14:paraId="57FB7EE7" w14:textId="77777777" w:rsidTr="003A2657">
        <w:trPr>
          <w:trHeight w:val="793"/>
        </w:trPr>
        <w:tc>
          <w:tcPr>
            <w:tcW w:w="2248" w:type="dxa"/>
          </w:tcPr>
          <w:p w14:paraId="42560D7C" w14:textId="77777777" w:rsidR="00CF0CC5" w:rsidRPr="00CF0CC5" w:rsidRDefault="00CF0CC5" w:rsidP="00D641CA">
            <w:pPr>
              <w:pStyle w:val="Corpotesto"/>
              <w:ind w:left="812" w:right="810"/>
              <w:jc w:val="both"/>
              <w:rPr>
                <w:b/>
                <w:i/>
                <w:iCs/>
              </w:rPr>
            </w:pPr>
          </w:p>
          <w:p w14:paraId="7A501B25" w14:textId="77777777" w:rsidR="00CF0CC5" w:rsidRPr="00CF0CC5" w:rsidRDefault="00CF0CC5" w:rsidP="00D641CA">
            <w:pPr>
              <w:pStyle w:val="Corpotesto"/>
              <w:ind w:right="48"/>
              <w:jc w:val="center"/>
              <w:rPr>
                <w:b/>
                <w:i/>
                <w:iCs/>
                <w:lang w:val="en-US"/>
              </w:rPr>
            </w:pPr>
            <w:r w:rsidRPr="00CF0CC5">
              <w:rPr>
                <w:b/>
                <w:i/>
                <w:iCs/>
                <w:lang w:val="en-US"/>
              </w:rPr>
              <w:t>Misura</w:t>
            </w:r>
          </w:p>
        </w:tc>
        <w:tc>
          <w:tcPr>
            <w:tcW w:w="2028" w:type="dxa"/>
          </w:tcPr>
          <w:p w14:paraId="6E2E571F" w14:textId="4E598DCE" w:rsidR="00CF0CC5" w:rsidRPr="00CF0CC5" w:rsidRDefault="00CF0CC5" w:rsidP="00D641CA">
            <w:pPr>
              <w:pStyle w:val="Corpotesto"/>
              <w:ind w:right="84"/>
              <w:jc w:val="both"/>
              <w:rPr>
                <w:b/>
                <w:i/>
                <w:iCs/>
                <w:lang w:val="en-US"/>
              </w:rPr>
            </w:pPr>
            <w:r w:rsidRPr="00CF0CC5">
              <w:rPr>
                <w:b/>
                <w:i/>
                <w:iCs/>
                <w:lang w:val="en-US"/>
              </w:rPr>
              <w:t>Target 20</w:t>
            </w:r>
            <w:r w:rsidR="00784872">
              <w:rPr>
                <w:b/>
                <w:i/>
                <w:iCs/>
                <w:lang w:val="en-US"/>
              </w:rPr>
              <w:t>2</w:t>
            </w:r>
            <w:r w:rsidR="00334ECA">
              <w:rPr>
                <w:b/>
                <w:i/>
                <w:iCs/>
                <w:lang w:val="en-US"/>
              </w:rPr>
              <w:t>6</w:t>
            </w:r>
          </w:p>
          <w:p w14:paraId="02D123B2" w14:textId="77777777" w:rsidR="00CF0CC5" w:rsidRPr="00CF0CC5" w:rsidRDefault="00CF0CC5" w:rsidP="009224DD">
            <w:pPr>
              <w:pStyle w:val="Corpotesto"/>
              <w:ind w:right="225"/>
              <w:jc w:val="both"/>
              <w:rPr>
                <w:b/>
                <w:i/>
                <w:iCs/>
                <w:lang w:val="en-US"/>
              </w:rPr>
            </w:pPr>
            <w:r w:rsidRPr="00CF0CC5">
              <w:rPr>
                <w:b/>
                <w:i/>
                <w:iCs/>
                <w:lang w:val="en-US"/>
              </w:rPr>
              <w:t>(</w:t>
            </w:r>
            <w:proofErr w:type="spellStart"/>
            <w:r w:rsidRPr="00CF0CC5">
              <w:rPr>
                <w:b/>
                <w:i/>
                <w:iCs/>
                <w:lang w:val="en-US"/>
              </w:rPr>
              <w:t>Indicatori</w:t>
            </w:r>
            <w:proofErr w:type="spellEnd"/>
            <w:r w:rsidRPr="00CF0CC5">
              <w:rPr>
                <w:b/>
                <w:i/>
                <w:iCs/>
                <w:lang w:val="en-US"/>
              </w:rPr>
              <w:t>)</w:t>
            </w:r>
          </w:p>
        </w:tc>
        <w:tc>
          <w:tcPr>
            <w:tcW w:w="2387" w:type="dxa"/>
          </w:tcPr>
          <w:p w14:paraId="2C5318A4" w14:textId="4DBE14A1" w:rsidR="00CF0CC5" w:rsidRPr="00CF0CC5" w:rsidRDefault="00CF0CC5" w:rsidP="00D641CA">
            <w:pPr>
              <w:pStyle w:val="Corpotesto"/>
              <w:ind w:right="342"/>
              <w:jc w:val="both"/>
              <w:rPr>
                <w:b/>
                <w:i/>
                <w:iCs/>
                <w:lang w:val="en-US"/>
              </w:rPr>
            </w:pPr>
            <w:r w:rsidRPr="00CF0CC5">
              <w:rPr>
                <w:b/>
                <w:i/>
                <w:iCs/>
                <w:lang w:val="en-US"/>
              </w:rPr>
              <w:t>Target 202</w:t>
            </w:r>
            <w:r w:rsidR="00334ECA">
              <w:rPr>
                <w:b/>
                <w:i/>
                <w:iCs/>
                <w:lang w:val="en-US"/>
              </w:rPr>
              <w:t>7</w:t>
            </w:r>
          </w:p>
          <w:p w14:paraId="0AE50F2B" w14:textId="77777777" w:rsidR="00CF0CC5" w:rsidRPr="00CF0CC5" w:rsidRDefault="00CF0CC5" w:rsidP="00D641CA">
            <w:pPr>
              <w:pStyle w:val="Corpotesto"/>
              <w:ind w:right="342"/>
              <w:jc w:val="both"/>
              <w:rPr>
                <w:b/>
                <w:i/>
                <w:iCs/>
                <w:lang w:val="en-US"/>
              </w:rPr>
            </w:pPr>
            <w:r w:rsidRPr="00CF0CC5">
              <w:rPr>
                <w:b/>
                <w:i/>
                <w:iCs/>
                <w:lang w:val="en-US"/>
              </w:rPr>
              <w:t>(</w:t>
            </w:r>
            <w:proofErr w:type="spellStart"/>
            <w:r w:rsidRPr="00CF0CC5">
              <w:rPr>
                <w:b/>
                <w:i/>
                <w:iCs/>
                <w:lang w:val="en-US"/>
              </w:rPr>
              <w:t>Indicatori</w:t>
            </w:r>
            <w:proofErr w:type="spellEnd"/>
            <w:r w:rsidRPr="00CF0CC5">
              <w:rPr>
                <w:b/>
                <w:i/>
                <w:iCs/>
                <w:lang w:val="en-US"/>
              </w:rPr>
              <w:t>)</w:t>
            </w:r>
          </w:p>
        </w:tc>
        <w:tc>
          <w:tcPr>
            <w:tcW w:w="2421" w:type="dxa"/>
          </w:tcPr>
          <w:p w14:paraId="25F58BA8" w14:textId="3F808FDE" w:rsidR="00CF0CC5" w:rsidRPr="00CF0CC5" w:rsidRDefault="00CF0CC5" w:rsidP="00D641CA">
            <w:pPr>
              <w:pStyle w:val="Corpotesto"/>
              <w:ind w:right="207"/>
              <w:jc w:val="both"/>
              <w:rPr>
                <w:b/>
                <w:i/>
                <w:iCs/>
                <w:lang w:val="en-US"/>
              </w:rPr>
            </w:pPr>
            <w:r w:rsidRPr="00CF0CC5">
              <w:rPr>
                <w:b/>
                <w:i/>
                <w:iCs/>
                <w:lang w:val="en-US"/>
              </w:rPr>
              <w:t>Target 202</w:t>
            </w:r>
            <w:r w:rsidR="00334ECA">
              <w:rPr>
                <w:b/>
                <w:i/>
                <w:iCs/>
                <w:lang w:val="en-US"/>
              </w:rPr>
              <w:t>8</w:t>
            </w:r>
            <w:r w:rsidR="00D641CA" w:rsidRPr="00D352E4">
              <w:rPr>
                <w:b/>
                <w:i/>
                <w:iCs/>
                <w:lang w:val="en-US"/>
              </w:rPr>
              <w:t xml:space="preserve"> </w:t>
            </w:r>
            <w:r w:rsidRPr="00CF0CC5">
              <w:rPr>
                <w:b/>
                <w:i/>
                <w:iCs/>
                <w:lang w:val="en-US"/>
              </w:rPr>
              <w:t>(</w:t>
            </w:r>
            <w:proofErr w:type="spellStart"/>
            <w:r w:rsidRPr="00CF0CC5">
              <w:rPr>
                <w:b/>
                <w:i/>
                <w:iCs/>
                <w:lang w:val="en-US"/>
              </w:rPr>
              <w:t>Indicatori</w:t>
            </w:r>
            <w:proofErr w:type="spellEnd"/>
            <w:r w:rsidRPr="00CF0CC5">
              <w:rPr>
                <w:b/>
                <w:i/>
                <w:iCs/>
                <w:lang w:val="en-US"/>
              </w:rPr>
              <w:t>)</w:t>
            </w:r>
          </w:p>
        </w:tc>
      </w:tr>
      <w:tr w:rsidR="00CF0CC5" w:rsidRPr="00CF0CC5" w14:paraId="4366D259" w14:textId="77777777" w:rsidTr="003A2657">
        <w:trPr>
          <w:trHeight w:val="1055"/>
        </w:trPr>
        <w:tc>
          <w:tcPr>
            <w:tcW w:w="2248" w:type="dxa"/>
          </w:tcPr>
          <w:p w14:paraId="48F2D422" w14:textId="77777777" w:rsidR="00CF0CC5" w:rsidRPr="00CF0CC5" w:rsidRDefault="00CF0CC5" w:rsidP="00D641CA">
            <w:pPr>
              <w:pStyle w:val="Corpotesto"/>
              <w:ind w:right="48"/>
              <w:jc w:val="both"/>
              <w:rPr>
                <w:b/>
                <w:bCs/>
                <w:lang w:val="en-US"/>
              </w:rPr>
            </w:pPr>
            <w:proofErr w:type="spellStart"/>
            <w:r w:rsidRPr="00CF0CC5">
              <w:rPr>
                <w:b/>
                <w:bCs/>
                <w:lang w:val="en-US"/>
              </w:rPr>
              <w:t>Trasparenza</w:t>
            </w:r>
            <w:proofErr w:type="spellEnd"/>
          </w:p>
        </w:tc>
        <w:tc>
          <w:tcPr>
            <w:tcW w:w="2028" w:type="dxa"/>
          </w:tcPr>
          <w:p w14:paraId="527B1570" w14:textId="25252F61" w:rsidR="00CF0CC5" w:rsidRPr="00CF0CC5" w:rsidRDefault="00CF0CC5" w:rsidP="003A2657">
            <w:pPr>
              <w:pStyle w:val="Corpotesto"/>
              <w:ind w:left="31" w:right="84"/>
              <w:jc w:val="both"/>
            </w:pPr>
            <w:r w:rsidRPr="00CF0CC5">
              <w:t xml:space="preserve">Pubblicazione dati aggiornati </w:t>
            </w:r>
            <w:r w:rsidR="00E613A8">
              <w:t xml:space="preserve">e revisione sito in forza </w:t>
            </w:r>
            <w:proofErr w:type="spellStart"/>
            <w:r w:rsidR="00E613A8">
              <w:t>D.Lgs</w:t>
            </w:r>
            <w:proofErr w:type="spellEnd"/>
            <w:r w:rsidR="00E613A8">
              <w:t xml:space="preserve"> 36/2023</w:t>
            </w:r>
          </w:p>
        </w:tc>
        <w:tc>
          <w:tcPr>
            <w:tcW w:w="2387" w:type="dxa"/>
          </w:tcPr>
          <w:p w14:paraId="2A797CA9" w14:textId="0E71C76A" w:rsidR="00CF0CC5" w:rsidRPr="00CF0CC5" w:rsidRDefault="00CF0CC5" w:rsidP="00D641CA">
            <w:pPr>
              <w:pStyle w:val="Corpotesto"/>
              <w:ind w:right="201"/>
              <w:jc w:val="both"/>
            </w:pPr>
            <w:r w:rsidRPr="00CF0CC5">
              <w:t xml:space="preserve">Pubblicazione dati aggiornati </w:t>
            </w:r>
          </w:p>
        </w:tc>
        <w:tc>
          <w:tcPr>
            <w:tcW w:w="2421" w:type="dxa"/>
          </w:tcPr>
          <w:p w14:paraId="2DF5A279" w14:textId="3DFBF105" w:rsidR="00CF0CC5" w:rsidRPr="00CF0CC5" w:rsidRDefault="00CF0CC5" w:rsidP="00D641CA">
            <w:pPr>
              <w:pStyle w:val="Corpotesto"/>
              <w:ind w:left="157" w:right="207"/>
              <w:jc w:val="both"/>
            </w:pPr>
            <w:r w:rsidRPr="00CF0CC5">
              <w:t xml:space="preserve">Pubblicazione dati aggiornati </w:t>
            </w:r>
          </w:p>
        </w:tc>
      </w:tr>
      <w:tr w:rsidR="00CF0CC5" w:rsidRPr="00CF0CC5" w14:paraId="212BD800" w14:textId="77777777" w:rsidTr="003A2657">
        <w:trPr>
          <w:trHeight w:val="1585"/>
        </w:trPr>
        <w:tc>
          <w:tcPr>
            <w:tcW w:w="2248" w:type="dxa"/>
          </w:tcPr>
          <w:p w14:paraId="2BD07D3E" w14:textId="77777777" w:rsidR="00CF0CC5" w:rsidRPr="00CF0CC5" w:rsidRDefault="00CF0CC5" w:rsidP="00D641CA">
            <w:pPr>
              <w:pStyle w:val="Corpotesto"/>
              <w:ind w:right="48"/>
              <w:jc w:val="both"/>
              <w:rPr>
                <w:b/>
                <w:bCs/>
              </w:rPr>
            </w:pPr>
            <w:r w:rsidRPr="00CF0CC5">
              <w:rPr>
                <w:b/>
                <w:bCs/>
              </w:rPr>
              <w:t>Astensione in caso di conflitto di interessi</w:t>
            </w:r>
          </w:p>
        </w:tc>
        <w:tc>
          <w:tcPr>
            <w:tcW w:w="2028" w:type="dxa"/>
          </w:tcPr>
          <w:p w14:paraId="2F201A4D" w14:textId="1CE8CF40" w:rsidR="00CF0CC5" w:rsidRPr="00334ECA" w:rsidRDefault="00D352E4" w:rsidP="00D352E4">
            <w:pPr>
              <w:pStyle w:val="Corpotesto"/>
              <w:ind w:left="31" w:right="84"/>
              <w:jc w:val="both"/>
            </w:pPr>
            <w:r w:rsidRPr="00D352E4">
              <w:t>Procedura dichiarazione p</w:t>
            </w:r>
            <w:r>
              <w:t>er membri di commissione per assunzioni e affidamenti</w:t>
            </w:r>
            <w:r w:rsidR="00334ECA">
              <w:t xml:space="preserve">: </w:t>
            </w:r>
            <w:r w:rsidR="00334ECA" w:rsidRPr="00334ECA">
              <w:t>Monitoraggio su efficacia misura</w:t>
            </w:r>
          </w:p>
        </w:tc>
        <w:tc>
          <w:tcPr>
            <w:tcW w:w="2387" w:type="dxa"/>
          </w:tcPr>
          <w:p w14:paraId="6CE8603C" w14:textId="77777777" w:rsidR="00CF0CC5" w:rsidRPr="00CF0CC5" w:rsidRDefault="00CF0CC5" w:rsidP="00D641CA">
            <w:pPr>
              <w:pStyle w:val="Corpotesto"/>
              <w:ind w:right="201"/>
              <w:jc w:val="both"/>
              <w:rPr>
                <w:lang w:val="en-US"/>
              </w:rPr>
            </w:pPr>
            <w:proofErr w:type="spellStart"/>
            <w:r w:rsidRPr="00CF0CC5">
              <w:rPr>
                <w:lang w:val="en-US"/>
              </w:rPr>
              <w:t>Monitoraggio</w:t>
            </w:r>
            <w:proofErr w:type="spellEnd"/>
            <w:r w:rsidRPr="00CF0CC5">
              <w:rPr>
                <w:lang w:val="en-US"/>
              </w:rPr>
              <w:t xml:space="preserve"> </w:t>
            </w:r>
            <w:proofErr w:type="spellStart"/>
            <w:r w:rsidRPr="00CF0CC5">
              <w:rPr>
                <w:lang w:val="en-US"/>
              </w:rPr>
              <w:t>su</w:t>
            </w:r>
            <w:proofErr w:type="spellEnd"/>
            <w:r w:rsidRPr="00CF0CC5">
              <w:rPr>
                <w:lang w:val="en-US"/>
              </w:rPr>
              <w:t xml:space="preserve"> </w:t>
            </w:r>
            <w:proofErr w:type="spellStart"/>
            <w:r w:rsidRPr="00CF0CC5">
              <w:rPr>
                <w:lang w:val="en-US"/>
              </w:rPr>
              <w:t>efficacia</w:t>
            </w:r>
            <w:proofErr w:type="spellEnd"/>
            <w:r w:rsidRPr="00CF0CC5">
              <w:rPr>
                <w:lang w:val="en-US"/>
              </w:rPr>
              <w:t xml:space="preserve"> </w:t>
            </w:r>
            <w:proofErr w:type="spellStart"/>
            <w:r w:rsidRPr="00CF0CC5">
              <w:rPr>
                <w:lang w:val="en-US"/>
              </w:rPr>
              <w:t>misura</w:t>
            </w:r>
            <w:proofErr w:type="spellEnd"/>
          </w:p>
        </w:tc>
        <w:tc>
          <w:tcPr>
            <w:tcW w:w="2421" w:type="dxa"/>
          </w:tcPr>
          <w:p w14:paraId="4650B490" w14:textId="77777777" w:rsidR="00CF0CC5" w:rsidRPr="00CF0CC5" w:rsidRDefault="00CF0CC5" w:rsidP="00D641CA">
            <w:pPr>
              <w:pStyle w:val="Corpotesto"/>
              <w:ind w:right="207"/>
              <w:jc w:val="both"/>
              <w:rPr>
                <w:lang w:val="en-US"/>
              </w:rPr>
            </w:pPr>
            <w:proofErr w:type="spellStart"/>
            <w:r w:rsidRPr="00CF0CC5">
              <w:rPr>
                <w:lang w:val="en-US"/>
              </w:rPr>
              <w:t>Monitoraggio</w:t>
            </w:r>
            <w:proofErr w:type="spellEnd"/>
            <w:r w:rsidRPr="00CF0CC5">
              <w:rPr>
                <w:lang w:val="en-US"/>
              </w:rPr>
              <w:t xml:space="preserve"> </w:t>
            </w:r>
            <w:proofErr w:type="spellStart"/>
            <w:r w:rsidRPr="00CF0CC5">
              <w:rPr>
                <w:lang w:val="en-US"/>
              </w:rPr>
              <w:t>su</w:t>
            </w:r>
            <w:proofErr w:type="spellEnd"/>
            <w:r w:rsidRPr="00CF0CC5">
              <w:rPr>
                <w:lang w:val="en-US"/>
              </w:rPr>
              <w:t xml:space="preserve"> </w:t>
            </w:r>
            <w:proofErr w:type="spellStart"/>
            <w:r w:rsidRPr="00CF0CC5">
              <w:rPr>
                <w:lang w:val="en-US"/>
              </w:rPr>
              <w:t>efficacia</w:t>
            </w:r>
            <w:proofErr w:type="spellEnd"/>
            <w:r w:rsidRPr="00CF0CC5">
              <w:rPr>
                <w:lang w:val="en-US"/>
              </w:rPr>
              <w:t xml:space="preserve"> </w:t>
            </w:r>
            <w:proofErr w:type="spellStart"/>
            <w:r w:rsidRPr="00CF0CC5">
              <w:rPr>
                <w:lang w:val="en-US"/>
              </w:rPr>
              <w:t>misura</w:t>
            </w:r>
            <w:proofErr w:type="spellEnd"/>
          </w:p>
        </w:tc>
      </w:tr>
      <w:tr w:rsidR="00334ECA" w:rsidRPr="00CF0CC5" w14:paraId="15164072" w14:textId="77777777" w:rsidTr="003A2657">
        <w:trPr>
          <w:trHeight w:val="1585"/>
        </w:trPr>
        <w:tc>
          <w:tcPr>
            <w:tcW w:w="2248" w:type="dxa"/>
          </w:tcPr>
          <w:p w14:paraId="62DA4BDF" w14:textId="34D6D1A6" w:rsidR="00334ECA" w:rsidRPr="00CF0CC5" w:rsidRDefault="00334ECA" w:rsidP="00D641CA">
            <w:pPr>
              <w:pStyle w:val="Corpotesto"/>
              <w:ind w:right="48"/>
              <w:jc w:val="both"/>
              <w:rPr>
                <w:b/>
                <w:bCs/>
              </w:rPr>
            </w:pPr>
            <w:r>
              <w:rPr>
                <w:b/>
                <w:bCs/>
              </w:rPr>
              <w:t xml:space="preserve">Modulo </w:t>
            </w:r>
            <w:r w:rsidRPr="00334ECA">
              <w:rPr>
                <w:b/>
                <w:bCs/>
              </w:rPr>
              <w:t>conflitto di interessi</w:t>
            </w:r>
            <w:r>
              <w:rPr>
                <w:b/>
                <w:bCs/>
              </w:rPr>
              <w:t xml:space="preserve"> (consulenti)</w:t>
            </w:r>
          </w:p>
        </w:tc>
        <w:tc>
          <w:tcPr>
            <w:tcW w:w="2028" w:type="dxa"/>
          </w:tcPr>
          <w:p w14:paraId="6B9DA20B" w14:textId="3033F4F9" w:rsidR="00334ECA" w:rsidRPr="00D352E4" w:rsidRDefault="00334ECA" w:rsidP="00D352E4">
            <w:pPr>
              <w:pStyle w:val="Corpotesto"/>
              <w:ind w:left="31" w:right="84"/>
              <w:jc w:val="both"/>
            </w:pPr>
            <w:r>
              <w:t>Predisposizione dichiarazione e richiesta sottoscrizione</w:t>
            </w:r>
          </w:p>
        </w:tc>
        <w:tc>
          <w:tcPr>
            <w:tcW w:w="2387" w:type="dxa"/>
          </w:tcPr>
          <w:p w14:paraId="195E7FC0" w14:textId="5D6A90FD" w:rsidR="00334ECA" w:rsidRPr="00334ECA" w:rsidRDefault="00334ECA" w:rsidP="00D641CA">
            <w:pPr>
              <w:pStyle w:val="Corpotesto"/>
              <w:ind w:right="201"/>
              <w:jc w:val="both"/>
            </w:pPr>
            <w:proofErr w:type="spellStart"/>
            <w:r w:rsidRPr="00CF0CC5">
              <w:rPr>
                <w:lang w:val="en-US"/>
              </w:rPr>
              <w:t>Monitoraggio</w:t>
            </w:r>
            <w:proofErr w:type="spellEnd"/>
            <w:r w:rsidRPr="00CF0CC5">
              <w:rPr>
                <w:lang w:val="en-US"/>
              </w:rPr>
              <w:t xml:space="preserve"> </w:t>
            </w:r>
            <w:proofErr w:type="spellStart"/>
            <w:r w:rsidRPr="00CF0CC5">
              <w:rPr>
                <w:lang w:val="en-US"/>
              </w:rPr>
              <w:t>su</w:t>
            </w:r>
            <w:proofErr w:type="spellEnd"/>
            <w:r w:rsidRPr="00CF0CC5">
              <w:rPr>
                <w:lang w:val="en-US"/>
              </w:rPr>
              <w:t xml:space="preserve"> </w:t>
            </w:r>
            <w:proofErr w:type="spellStart"/>
            <w:r w:rsidRPr="00CF0CC5">
              <w:rPr>
                <w:lang w:val="en-US"/>
              </w:rPr>
              <w:t>efficacia</w:t>
            </w:r>
            <w:proofErr w:type="spellEnd"/>
            <w:r w:rsidRPr="00CF0CC5">
              <w:rPr>
                <w:lang w:val="en-US"/>
              </w:rPr>
              <w:t xml:space="preserve"> </w:t>
            </w:r>
            <w:proofErr w:type="spellStart"/>
            <w:r w:rsidRPr="00CF0CC5">
              <w:rPr>
                <w:lang w:val="en-US"/>
              </w:rPr>
              <w:t>misura</w:t>
            </w:r>
            <w:proofErr w:type="spellEnd"/>
          </w:p>
        </w:tc>
        <w:tc>
          <w:tcPr>
            <w:tcW w:w="2421" w:type="dxa"/>
          </w:tcPr>
          <w:p w14:paraId="5957B70D" w14:textId="5C49122D" w:rsidR="00334ECA" w:rsidRPr="00334ECA" w:rsidRDefault="00334ECA" w:rsidP="00D641CA">
            <w:pPr>
              <w:pStyle w:val="Corpotesto"/>
              <w:ind w:right="207"/>
              <w:jc w:val="both"/>
            </w:pPr>
            <w:proofErr w:type="spellStart"/>
            <w:r w:rsidRPr="00CF0CC5">
              <w:rPr>
                <w:lang w:val="en-US"/>
              </w:rPr>
              <w:t>Monitoraggio</w:t>
            </w:r>
            <w:proofErr w:type="spellEnd"/>
            <w:r w:rsidRPr="00CF0CC5">
              <w:rPr>
                <w:lang w:val="en-US"/>
              </w:rPr>
              <w:t xml:space="preserve"> </w:t>
            </w:r>
            <w:proofErr w:type="spellStart"/>
            <w:r w:rsidRPr="00CF0CC5">
              <w:rPr>
                <w:lang w:val="en-US"/>
              </w:rPr>
              <w:t>su</w:t>
            </w:r>
            <w:proofErr w:type="spellEnd"/>
            <w:r w:rsidRPr="00CF0CC5">
              <w:rPr>
                <w:lang w:val="en-US"/>
              </w:rPr>
              <w:t xml:space="preserve"> </w:t>
            </w:r>
            <w:proofErr w:type="spellStart"/>
            <w:r w:rsidRPr="00CF0CC5">
              <w:rPr>
                <w:lang w:val="en-US"/>
              </w:rPr>
              <w:t>efficacia</w:t>
            </w:r>
            <w:proofErr w:type="spellEnd"/>
            <w:r w:rsidRPr="00CF0CC5">
              <w:rPr>
                <w:lang w:val="en-US"/>
              </w:rPr>
              <w:t xml:space="preserve"> </w:t>
            </w:r>
            <w:proofErr w:type="spellStart"/>
            <w:r w:rsidRPr="00CF0CC5">
              <w:rPr>
                <w:lang w:val="en-US"/>
              </w:rPr>
              <w:t>misura</w:t>
            </w:r>
            <w:proofErr w:type="spellEnd"/>
          </w:p>
        </w:tc>
      </w:tr>
      <w:tr w:rsidR="00CF0CC5" w:rsidRPr="00CF0CC5" w14:paraId="02B43055" w14:textId="77777777" w:rsidTr="003A2657">
        <w:trPr>
          <w:trHeight w:val="527"/>
        </w:trPr>
        <w:tc>
          <w:tcPr>
            <w:tcW w:w="2248" w:type="dxa"/>
          </w:tcPr>
          <w:p w14:paraId="639929E5" w14:textId="177C6574" w:rsidR="00CF0CC5" w:rsidRPr="00CF0CC5" w:rsidRDefault="00CF0CC5" w:rsidP="00D641CA">
            <w:pPr>
              <w:pStyle w:val="Corpotesto"/>
              <w:jc w:val="both"/>
              <w:rPr>
                <w:b/>
                <w:bCs/>
              </w:rPr>
            </w:pPr>
            <w:r w:rsidRPr="00CF0CC5">
              <w:rPr>
                <w:b/>
                <w:bCs/>
              </w:rPr>
              <w:t>attività d</w:t>
            </w:r>
            <w:r w:rsidR="004A315A" w:rsidRPr="00D641CA">
              <w:rPr>
                <w:b/>
                <w:bCs/>
              </w:rPr>
              <w:t>i</w:t>
            </w:r>
            <w:r w:rsidRPr="00CF0CC5">
              <w:rPr>
                <w:b/>
                <w:bCs/>
              </w:rPr>
              <w:t xml:space="preserve"> incarichi</w:t>
            </w:r>
            <w:r w:rsidR="00D641CA" w:rsidRPr="00D641CA">
              <w:rPr>
                <w:b/>
                <w:bCs/>
              </w:rPr>
              <w:t xml:space="preserve"> </w:t>
            </w:r>
            <w:r w:rsidRPr="00CF0CC5">
              <w:rPr>
                <w:b/>
                <w:bCs/>
              </w:rPr>
              <w:t>extra-istituzionali</w:t>
            </w:r>
          </w:p>
        </w:tc>
        <w:tc>
          <w:tcPr>
            <w:tcW w:w="2028" w:type="dxa"/>
          </w:tcPr>
          <w:p w14:paraId="05E93533" w14:textId="342B5353" w:rsidR="00CF0CC5" w:rsidRPr="00CF0CC5" w:rsidRDefault="00D352E4" w:rsidP="00D352E4">
            <w:pPr>
              <w:pStyle w:val="Corpotesto"/>
              <w:ind w:left="31" w:right="84"/>
              <w:jc w:val="both"/>
            </w:pPr>
            <w:r>
              <w:t>Ordine di Servizio per richiesta autorizzazione</w:t>
            </w:r>
          </w:p>
        </w:tc>
        <w:tc>
          <w:tcPr>
            <w:tcW w:w="2387" w:type="dxa"/>
          </w:tcPr>
          <w:p w14:paraId="5EAA946E" w14:textId="7A763C55" w:rsidR="00CF0CC5" w:rsidRPr="00CF0CC5" w:rsidRDefault="00D352E4" w:rsidP="00D352E4">
            <w:pPr>
              <w:pStyle w:val="Corpotesto"/>
              <w:ind w:left="133" w:right="201"/>
              <w:jc w:val="both"/>
            </w:pPr>
            <w:proofErr w:type="spellStart"/>
            <w:r w:rsidRPr="00CF0CC5">
              <w:rPr>
                <w:lang w:val="en-US"/>
              </w:rPr>
              <w:t>Monitoraggio</w:t>
            </w:r>
            <w:proofErr w:type="spellEnd"/>
            <w:r w:rsidRPr="00CF0CC5">
              <w:rPr>
                <w:lang w:val="en-US"/>
              </w:rPr>
              <w:t xml:space="preserve"> </w:t>
            </w:r>
            <w:proofErr w:type="spellStart"/>
            <w:r w:rsidRPr="00CF0CC5">
              <w:rPr>
                <w:lang w:val="en-US"/>
              </w:rPr>
              <w:t>su</w:t>
            </w:r>
            <w:proofErr w:type="spellEnd"/>
            <w:r w:rsidRPr="00CF0CC5">
              <w:rPr>
                <w:lang w:val="en-US"/>
              </w:rPr>
              <w:t xml:space="preserve"> </w:t>
            </w:r>
            <w:proofErr w:type="spellStart"/>
            <w:r w:rsidRPr="00CF0CC5">
              <w:rPr>
                <w:lang w:val="en-US"/>
              </w:rPr>
              <w:t>efficacia</w:t>
            </w:r>
            <w:proofErr w:type="spellEnd"/>
            <w:r w:rsidRPr="00CF0CC5">
              <w:rPr>
                <w:lang w:val="en-US"/>
              </w:rPr>
              <w:t xml:space="preserve"> </w:t>
            </w:r>
            <w:proofErr w:type="spellStart"/>
            <w:r w:rsidRPr="00CF0CC5">
              <w:rPr>
                <w:lang w:val="en-US"/>
              </w:rPr>
              <w:t>misura</w:t>
            </w:r>
            <w:proofErr w:type="spellEnd"/>
          </w:p>
        </w:tc>
        <w:tc>
          <w:tcPr>
            <w:tcW w:w="2421" w:type="dxa"/>
          </w:tcPr>
          <w:p w14:paraId="510D34EC" w14:textId="17AB162C" w:rsidR="00CF0CC5" w:rsidRPr="00CF0CC5" w:rsidRDefault="00D352E4" w:rsidP="00D352E4">
            <w:pPr>
              <w:pStyle w:val="Corpotesto"/>
              <w:ind w:left="157" w:right="207"/>
              <w:jc w:val="both"/>
            </w:pPr>
            <w:proofErr w:type="spellStart"/>
            <w:r w:rsidRPr="00CF0CC5">
              <w:rPr>
                <w:lang w:val="en-US"/>
              </w:rPr>
              <w:t>Monitoraggio</w:t>
            </w:r>
            <w:proofErr w:type="spellEnd"/>
            <w:r w:rsidRPr="00CF0CC5">
              <w:rPr>
                <w:lang w:val="en-US"/>
              </w:rPr>
              <w:t xml:space="preserve"> </w:t>
            </w:r>
            <w:proofErr w:type="spellStart"/>
            <w:r w:rsidRPr="00CF0CC5">
              <w:rPr>
                <w:lang w:val="en-US"/>
              </w:rPr>
              <w:t>su</w:t>
            </w:r>
            <w:proofErr w:type="spellEnd"/>
            <w:r w:rsidRPr="00CF0CC5">
              <w:rPr>
                <w:lang w:val="en-US"/>
              </w:rPr>
              <w:t xml:space="preserve"> </w:t>
            </w:r>
            <w:proofErr w:type="spellStart"/>
            <w:r w:rsidRPr="00CF0CC5">
              <w:rPr>
                <w:lang w:val="en-US"/>
              </w:rPr>
              <w:t>efficacia</w:t>
            </w:r>
            <w:proofErr w:type="spellEnd"/>
            <w:r w:rsidRPr="00CF0CC5">
              <w:rPr>
                <w:lang w:val="en-US"/>
              </w:rPr>
              <w:t xml:space="preserve"> </w:t>
            </w:r>
            <w:proofErr w:type="spellStart"/>
            <w:r w:rsidRPr="00CF0CC5">
              <w:rPr>
                <w:lang w:val="en-US"/>
              </w:rPr>
              <w:t>misura</w:t>
            </w:r>
            <w:proofErr w:type="spellEnd"/>
          </w:p>
        </w:tc>
      </w:tr>
      <w:tr w:rsidR="00D641CA" w:rsidRPr="00CF0CC5" w14:paraId="5C326808" w14:textId="77777777" w:rsidTr="003A2657">
        <w:trPr>
          <w:trHeight w:val="1849"/>
        </w:trPr>
        <w:tc>
          <w:tcPr>
            <w:tcW w:w="2248" w:type="dxa"/>
          </w:tcPr>
          <w:p w14:paraId="6E3070DA" w14:textId="77777777" w:rsidR="00D641CA" w:rsidRPr="00CF0CC5" w:rsidRDefault="00D641CA" w:rsidP="00D641CA">
            <w:pPr>
              <w:pStyle w:val="Corpotesto"/>
              <w:tabs>
                <w:tab w:val="left" w:pos="579"/>
              </w:tabs>
              <w:ind w:right="48"/>
              <w:jc w:val="both"/>
              <w:rPr>
                <w:b/>
                <w:bCs/>
              </w:rPr>
            </w:pPr>
            <w:r w:rsidRPr="00CF0CC5">
              <w:rPr>
                <w:b/>
                <w:bCs/>
              </w:rPr>
              <w:lastRenderedPageBreak/>
              <w:t>Impossibilità conferimento incarico di responsabilità in caso di condanna</w:t>
            </w:r>
          </w:p>
        </w:tc>
        <w:tc>
          <w:tcPr>
            <w:tcW w:w="2028" w:type="dxa"/>
          </w:tcPr>
          <w:p w14:paraId="18E9E883" w14:textId="0F7443D3" w:rsidR="00D641CA" w:rsidRPr="00CF0CC5" w:rsidRDefault="00D641CA" w:rsidP="00D641CA">
            <w:pPr>
              <w:pStyle w:val="Corpotesto"/>
              <w:ind w:left="26" w:right="225"/>
              <w:jc w:val="both"/>
            </w:pPr>
            <w:r w:rsidRPr="00CF0CC5">
              <w:t>Adozione apposita procedura</w:t>
            </w:r>
            <w:r w:rsidRPr="00D641CA">
              <w:t xml:space="preserve"> / inserimento </w:t>
            </w:r>
            <w:r>
              <w:t>previsione in Codice Etico e di Condotta</w:t>
            </w:r>
          </w:p>
        </w:tc>
        <w:tc>
          <w:tcPr>
            <w:tcW w:w="2387" w:type="dxa"/>
          </w:tcPr>
          <w:p w14:paraId="5AFFB0DD" w14:textId="0A5EAE52" w:rsidR="00D641CA" w:rsidRPr="00CF0CC5" w:rsidRDefault="00D641CA" w:rsidP="00D641CA">
            <w:pPr>
              <w:pStyle w:val="Corpotesto"/>
              <w:ind w:right="201"/>
              <w:jc w:val="both"/>
            </w:pPr>
            <w:proofErr w:type="spellStart"/>
            <w:r w:rsidRPr="00CF0CC5">
              <w:rPr>
                <w:lang w:val="en-US"/>
              </w:rPr>
              <w:t>Monitoraggio</w:t>
            </w:r>
            <w:proofErr w:type="spellEnd"/>
            <w:r w:rsidRPr="00CF0CC5">
              <w:rPr>
                <w:lang w:val="en-US"/>
              </w:rPr>
              <w:t xml:space="preserve"> </w:t>
            </w:r>
            <w:proofErr w:type="spellStart"/>
            <w:r w:rsidRPr="00CF0CC5">
              <w:rPr>
                <w:lang w:val="en-US"/>
              </w:rPr>
              <w:t>misura</w:t>
            </w:r>
            <w:proofErr w:type="spellEnd"/>
          </w:p>
        </w:tc>
        <w:tc>
          <w:tcPr>
            <w:tcW w:w="2421" w:type="dxa"/>
          </w:tcPr>
          <w:p w14:paraId="1DAEF67A" w14:textId="6D522DDE" w:rsidR="00D641CA" w:rsidRPr="00CF0CC5" w:rsidRDefault="00D641CA" w:rsidP="00D641CA">
            <w:pPr>
              <w:pStyle w:val="Corpotesto"/>
              <w:ind w:right="207"/>
              <w:jc w:val="both"/>
              <w:rPr>
                <w:lang w:val="en-US"/>
              </w:rPr>
            </w:pPr>
            <w:proofErr w:type="spellStart"/>
            <w:r w:rsidRPr="00CF0CC5">
              <w:rPr>
                <w:lang w:val="en-US"/>
              </w:rPr>
              <w:t>Monitoraggio</w:t>
            </w:r>
            <w:proofErr w:type="spellEnd"/>
            <w:r w:rsidRPr="00CF0CC5">
              <w:rPr>
                <w:lang w:val="en-US"/>
              </w:rPr>
              <w:t xml:space="preserve"> </w:t>
            </w:r>
            <w:proofErr w:type="spellStart"/>
            <w:r w:rsidRPr="00CF0CC5">
              <w:rPr>
                <w:lang w:val="en-US"/>
              </w:rPr>
              <w:t>misura</w:t>
            </w:r>
            <w:proofErr w:type="spellEnd"/>
          </w:p>
        </w:tc>
      </w:tr>
      <w:tr w:rsidR="00D641CA" w:rsidRPr="00CF0CC5" w14:paraId="230C6BA2" w14:textId="77777777" w:rsidTr="003A2657">
        <w:trPr>
          <w:trHeight w:val="1585"/>
        </w:trPr>
        <w:tc>
          <w:tcPr>
            <w:tcW w:w="2248" w:type="dxa"/>
          </w:tcPr>
          <w:p w14:paraId="34B84A56" w14:textId="63B45511" w:rsidR="00D641CA" w:rsidRPr="00CF0CC5" w:rsidRDefault="00D641CA" w:rsidP="00D641CA">
            <w:pPr>
              <w:pStyle w:val="Corpotesto"/>
              <w:ind w:right="190"/>
              <w:jc w:val="both"/>
              <w:rPr>
                <w:b/>
                <w:bCs/>
                <w:lang w:val="en-US"/>
              </w:rPr>
            </w:pPr>
            <w:proofErr w:type="spellStart"/>
            <w:r w:rsidRPr="00D641CA">
              <w:rPr>
                <w:b/>
                <w:bCs/>
                <w:lang w:val="en-US"/>
              </w:rPr>
              <w:t>F</w:t>
            </w:r>
            <w:r w:rsidRPr="00CF0CC5">
              <w:rPr>
                <w:b/>
                <w:bCs/>
                <w:lang w:val="en-US"/>
              </w:rPr>
              <w:t>ormazione</w:t>
            </w:r>
            <w:proofErr w:type="spellEnd"/>
          </w:p>
        </w:tc>
        <w:tc>
          <w:tcPr>
            <w:tcW w:w="2028" w:type="dxa"/>
          </w:tcPr>
          <w:p w14:paraId="6E5E7F36" w14:textId="52CCC091" w:rsidR="00D641CA" w:rsidRPr="00CF0CC5" w:rsidRDefault="00D641CA" w:rsidP="00D641CA">
            <w:pPr>
              <w:pStyle w:val="Corpotesto"/>
              <w:ind w:right="84"/>
              <w:jc w:val="both"/>
            </w:pPr>
            <w:r w:rsidRPr="00CF0CC5">
              <w:t>Formazione specifica, rivolta al personale impegnato su specifiche</w:t>
            </w:r>
            <w:r>
              <w:t xml:space="preserve"> </w:t>
            </w:r>
            <w:r w:rsidRPr="00CF0CC5">
              <w:t>aree di attività</w:t>
            </w:r>
          </w:p>
        </w:tc>
        <w:tc>
          <w:tcPr>
            <w:tcW w:w="2387" w:type="dxa"/>
          </w:tcPr>
          <w:p w14:paraId="409BD761" w14:textId="09F9FBD5" w:rsidR="00D641CA" w:rsidRPr="00CF0CC5" w:rsidRDefault="00D641CA" w:rsidP="00D641CA">
            <w:pPr>
              <w:pStyle w:val="Corpotesto"/>
              <w:ind w:right="59"/>
              <w:jc w:val="both"/>
              <w:rPr>
                <w:lang w:val="en-US"/>
              </w:rPr>
            </w:pPr>
            <w:r w:rsidRPr="00CF0CC5">
              <w:t>Formazione generale e specifica</w:t>
            </w:r>
          </w:p>
        </w:tc>
        <w:tc>
          <w:tcPr>
            <w:tcW w:w="2421" w:type="dxa"/>
          </w:tcPr>
          <w:p w14:paraId="35A289B1" w14:textId="75128F33" w:rsidR="00D641CA" w:rsidRPr="00DE6B64" w:rsidRDefault="00D641CA" w:rsidP="00D641CA">
            <w:pPr>
              <w:pStyle w:val="Corpotesto"/>
              <w:ind w:right="65"/>
              <w:jc w:val="both"/>
            </w:pPr>
            <w:r w:rsidRPr="00CF0CC5">
              <w:t xml:space="preserve">Formazione generale e specifica, rivolta, a tutto il personale </w:t>
            </w:r>
          </w:p>
          <w:p w14:paraId="378922E5" w14:textId="448B63CA" w:rsidR="00D641CA" w:rsidRPr="00DE6B64" w:rsidRDefault="00D641CA" w:rsidP="00D641CA">
            <w:pPr>
              <w:pStyle w:val="Corpotesto"/>
              <w:ind w:left="812" w:right="810"/>
              <w:jc w:val="both"/>
            </w:pPr>
          </w:p>
        </w:tc>
      </w:tr>
      <w:tr w:rsidR="00D641CA" w:rsidRPr="00CF0CC5" w14:paraId="07DA0891" w14:textId="77777777" w:rsidTr="003A2657">
        <w:trPr>
          <w:trHeight w:val="529"/>
        </w:trPr>
        <w:tc>
          <w:tcPr>
            <w:tcW w:w="2248" w:type="dxa"/>
          </w:tcPr>
          <w:p w14:paraId="2E89E16C" w14:textId="7EF3D19B" w:rsidR="00D641CA" w:rsidRPr="00CF0CC5" w:rsidRDefault="00D641CA" w:rsidP="00D641CA">
            <w:pPr>
              <w:pStyle w:val="Corpotesto"/>
              <w:tabs>
                <w:tab w:val="left" w:pos="579"/>
              </w:tabs>
              <w:ind w:right="48"/>
              <w:jc w:val="both"/>
              <w:rPr>
                <w:b/>
                <w:bCs/>
                <w:lang w:val="en-US"/>
              </w:rPr>
            </w:pPr>
            <w:r w:rsidRPr="00CF0CC5">
              <w:rPr>
                <w:b/>
                <w:bCs/>
                <w:lang w:val="en-US"/>
              </w:rPr>
              <w:t>P</w:t>
            </w:r>
            <w:r w:rsidRPr="00D641CA">
              <w:rPr>
                <w:b/>
                <w:bCs/>
                <w:lang w:val="en-US"/>
              </w:rPr>
              <w:t>a</w:t>
            </w:r>
            <w:r w:rsidRPr="00CF0CC5">
              <w:rPr>
                <w:b/>
                <w:bCs/>
                <w:lang w:val="en-US"/>
              </w:rPr>
              <w:t xml:space="preserve">tti di </w:t>
            </w:r>
            <w:proofErr w:type="spellStart"/>
            <w:r w:rsidRPr="00CF0CC5">
              <w:rPr>
                <w:b/>
                <w:bCs/>
                <w:lang w:val="en-US"/>
              </w:rPr>
              <w:t>integrità</w:t>
            </w:r>
            <w:proofErr w:type="spellEnd"/>
          </w:p>
        </w:tc>
        <w:tc>
          <w:tcPr>
            <w:tcW w:w="2028" w:type="dxa"/>
          </w:tcPr>
          <w:p w14:paraId="74E3E004" w14:textId="04C02CE2" w:rsidR="00D641CA" w:rsidRPr="00CF0CC5" w:rsidRDefault="003A2657" w:rsidP="003A2657">
            <w:pPr>
              <w:pStyle w:val="Corpotesto"/>
              <w:ind w:left="26" w:right="-67"/>
              <w:jc w:val="both"/>
            </w:pPr>
            <w:r>
              <w:t xml:space="preserve">Verifica e </w:t>
            </w:r>
            <w:r w:rsidR="00D641CA" w:rsidRPr="00D641CA">
              <w:t>Revisione documentazione contrattuale ed i</w:t>
            </w:r>
            <w:r w:rsidR="00D641CA">
              <w:t>nserimento clausole</w:t>
            </w:r>
          </w:p>
        </w:tc>
        <w:tc>
          <w:tcPr>
            <w:tcW w:w="2387" w:type="dxa"/>
          </w:tcPr>
          <w:p w14:paraId="15AD4413" w14:textId="65BE1175" w:rsidR="00D641CA" w:rsidRPr="00CF0CC5" w:rsidRDefault="00D641CA" w:rsidP="00D641CA">
            <w:pPr>
              <w:pStyle w:val="Corpotesto"/>
              <w:ind w:right="59"/>
              <w:jc w:val="both"/>
              <w:rPr>
                <w:lang w:val="en-US"/>
              </w:rPr>
            </w:pPr>
            <w:proofErr w:type="spellStart"/>
            <w:r w:rsidRPr="00CF0CC5">
              <w:rPr>
                <w:lang w:val="en-US"/>
              </w:rPr>
              <w:t>Monitoraggio</w:t>
            </w:r>
            <w:proofErr w:type="spellEnd"/>
            <w:r w:rsidRPr="00CF0CC5">
              <w:rPr>
                <w:lang w:val="en-US"/>
              </w:rPr>
              <w:t xml:space="preserve"> </w:t>
            </w:r>
            <w:proofErr w:type="spellStart"/>
            <w:r>
              <w:rPr>
                <w:lang w:val="en-US"/>
              </w:rPr>
              <w:t>attuazione</w:t>
            </w:r>
            <w:proofErr w:type="spellEnd"/>
            <w:r>
              <w:rPr>
                <w:lang w:val="en-US"/>
              </w:rPr>
              <w:t xml:space="preserve"> </w:t>
            </w:r>
            <w:proofErr w:type="spellStart"/>
            <w:r w:rsidRPr="00CF0CC5">
              <w:rPr>
                <w:lang w:val="en-US"/>
              </w:rPr>
              <w:t>misura</w:t>
            </w:r>
            <w:proofErr w:type="spellEnd"/>
          </w:p>
        </w:tc>
        <w:tc>
          <w:tcPr>
            <w:tcW w:w="2421" w:type="dxa"/>
          </w:tcPr>
          <w:p w14:paraId="6ED54C39" w14:textId="5E43B470" w:rsidR="00D641CA" w:rsidRPr="00CF0CC5" w:rsidRDefault="00D641CA" w:rsidP="00D641CA">
            <w:pPr>
              <w:pStyle w:val="Corpotesto"/>
              <w:ind w:right="207"/>
              <w:jc w:val="both"/>
              <w:rPr>
                <w:lang w:val="en-US"/>
              </w:rPr>
            </w:pPr>
            <w:proofErr w:type="spellStart"/>
            <w:r w:rsidRPr="00CF0CC5">
              <w:rPr>
                <w:lang w:val="en-US"/>
              </w:rPr>
              <w:t>Monitoraggio</w:t>
            </w:r>
            <w:proofErr w:type="spellEnd"/>
            <w:r w:rsidRPr="00CF0CC5">
              <w:rPr>
                <w:lang w:val="en-US"/>
              </w:rPr>
              <w:t xml:space="preserve"> </w:t>
            </w:r>
            <w:proofErr w:type="spellStart"/>
            <w:r w:rsidRPr="00CF0CC5">
              <w:rPr>
                <w:lang w:val="en-US"/>
              </w:rPr>
              <w:t>efficacia</w:t>
            </w:r>
            <w:proofErr w:type="spellEnd"/>
            <w:r>
              <w:rPr>
                <w:lang w:val="en-US"/>
              </w:rPr>
              <w:t xml:space="preserve"> </w:t>
            </w:r>
            <w:proofErr w:type="spellStart"/>
            <w:r w:rsidRPr="00CF0CC5">
              <w:rPr>
                <w:lang w:val="en-US"/>
              </w:rPr>
              <w:t>misura</w:t>
            </w:r>
            <w:proofErr w:type="spellEnd"/>
          </w:p>
        </w:tc>
      </w:tr>
    </w:tbl>
    <w:p w14:paraId="0DAC79BE" w14:textId="77777777" w:rsidR="00D70AAE" w:rsidRPr="00D70AAE" w:rsidRDefault="00ED781B" w:rsidP="002034D7">
      <w:pPr>
        <w:pStyle w:val="Corpotesto"/>
        <w:spacing w:before="200" w:line="360" w:lineRule="auto"/>
        <w:ind w:left="1173" w:right="810"/>
        <w:jc w:val="center"/>
        <w:rPr>
          <w:b/>
        </w:rPr>
      </w:pPr>
      <w:r>
        <w:rPr>
          <w:b/>
        </w:rPr>
        <w:t xml:space="preserve">- </w:t>
      </w:r>
      <w:r w:rsidR="00D70AAE" w:rsidRPr="00D70AAE">
        <w:rPr>
          <w:b/>
        </w:rPr>
        <w:t xml:space="preserve">Sezione II </w:t>
      </w:r>
      <w:r>
        <w:rPr>
          <w:b/>
        </w:rPr>
        <w:t>-</w:t>
      </w:r>
    </w:p>
    <w:p w14:paraId="2CC726D2" w14:textId="26B61AB5" w:rsidR="001F0066" w:rsidRPr="002627F4" w:rsidRDefault="00D352E4" w:rsidP="00D352E4">
      <w:pPr>
        <w:pStyle w:val="Titolo1"/>
        <w:spacing w:line="360" w:lineRule="auto"/>
        <w:ind w:left="851" w:firstLine="0"/>
        <w:rPr>
          <w:smallCaps/>
        </w:rPr>
      </w:pPr>
      <w:bookmarkStart w:id="79" w:name="_Toc220506583"/>
      <w:r>
        <w:rPr>
          <w:smallCaps/>
        </w:rPr>
        <w:t xml:space="preserve">12. </w:t>
      </w:r>
      <w:r w:rsidR="00EE2012" w:rsidRPr="002627F4">
        <w:rPr>
          <w:smallCaps/>
        </w:rPr>
        <w:t>I</w:t>
      </w:r>
      <w:r w:rsidR="006C6404" w:rsidRPr="002627F4">
        <w:rPr>
          <w:smallCaps/>
        </w:rPr>
        <w:t>l Piano della Trasp</w:t>
      </w:r>
      <w:r w:rsidR="00B77541" w:rsidRPr="002627F4">
        <w:rPr>
          <w:smallCaps/>
        </w:rPr>
        <w:t>a</w:t>
      </w:r>
      <w:r w:rsidR="006C6404" w:rsidRPr="002627F4">
        <w:rPr>
          <w:smallCaps/>
        </w:rPr>
        <w:t>renza</w:t>
      </w:r>
      <w:bookmarkEnd w:id="79"/>
    </w:p>
    <w:p w14:paraId="6F2913FD" w14:textId="77777777" w:rsidR="001F0066" w:rsidRDefault="001F0066" w:rsidP="002034D7">
      <w:pPr>
        <w:pStyle w:val="Corpotesto"/>
        <w:spacing w:before="8" w:line="360" w:lineRule="auto"/>
        <w:rPr>
          <w:b/>
          <w:sz w:val="19"/>
        </w:rPr>
      </w:pPr>
    </w:p>
    <w:p w14:paraId="15F0B89D" w14:textId="77777777" w:rsidR="001F0066" w:rsidRPr="00ED781B" w:rsidRDefault="00ED781B" w:rsidP="002034D7">
      <w:pPr>
        <w:spacing w:before="1" w:line="360" w:lineRule="auto"/>
        <w:ind w:left="812" w:right="808"/>
        <w:jc w:val="both"/>
        <w:rPr>
          <w:sz w:val="21"/>
        </w:rPr>
      </w:pPr>
      <w:r>
        <w:rPr>
          <w:sz w:val="21"/>
        </w:rPr>
        <w:t xml:space="preserve">Come noto </w:t>
      </w:r>
      <w:r w:rsidR="00EE2012">
        <w:rPr>
          <w:sz w:val="21"/>
        </w:rPr>
        <w:t>il “</w:t>
      </w:r>
      <w:r w:rsidR="00EE2012">
        <w:rPr>
          <w:b/>
          <w:sz w:val="21"/>
        </w:rPr>
        <w:t>Programma triennale per la trasparenza e l’integrità”</w:t>
      </w:r>
      <w:r w:rsidR="00EE2012">
        <w:rPr>
          <w:sz w:val="21"/>
        </w:rPr>
        <w:t xml:space="preserve"> definisce le misure, i modi, e le iniziative per l’adempimento degli obblighi di pubblicazione previsti dalla normativa vigente, </w:t>
      </w:r>
      <w:r w:rsidR="00EE2012">
        <w:rPr>
          <w:spacing w:val="-2"/>
          <w:sz w:val="21"/>
        </w:rPr>
        <w:t xml:space="preserve">ivi </w:t>
      </w:r>
      <w:r w:rsidR="00EE2012">
        <w:rPr>
          <w:sz w:val="21"/>
        </w:rPr>
        <w:t>comprese le misure organizzative volte ad assicurare la regolarità e la tempestività dei flussi</w:t>
      </w:r>
      <w:r w:rsidR="00EE2012">
        <w:rPr>
          <w:spacing w:val="-1"/>
          <w:sz w:val="21"/>
        </w:rPr>
        <w:t xml:space="preserve"> </w:t>
      </w:r>
      <w:r w:rsidR="00EE2012">
        <w:rPr>
          <w:sz w:val="21"/>
        </w:rPr>
        <w:t>informativi.</w:t>
      </w:r>
      <w:r>
        <w:rPr>
          <w:sz w:val="21"/>
        </w:rPr>
        <w:t xml:space="preserve"> </w:t>
      </w:r>
      <w:r w:rsidR="00EE2012" w:rsidRPr="00ED781B">
        <w:rPr>
          <w:sz w:val="21"/>
        </w:rPr>
        <w:t>Il pieno rispetto degli obblighi di trasparenza, infatti, oltre che costituire livello essenziale delle prestazioni erogate, rappresenta un valido strumento di diffusione e affermazione della cultura delle regole, nonché di prevenzione e di lotta a fenomeni corruttivi. La Trasparenza rappresenta uno strumento fondamentale per la prevenzione della Corruzione e per l’efficienza e l’efficacia dell’azione amministrativa.</w:t>
      </w:r>
    </w:p>
    <w:p w14:paraId="4EE7217F" w14:textId="77777777" w:rsidR="001F0066" w:rsidRDefault="00EE2012" w:rsidP="002034D7">
      <w:pPr>
        <w:pStyle w:val="Corpotesto"/>
        <w:spacing w:before="201" w:line="360" w:lineRule="auto"/>
        <w:ind w:left="812" w:right="810"/>
        <w:jc w:val="both"/>
      </w:pPr>
      <w:r w:rsidRPr="00ED781B">
        <w:rPr>
          <w:szCs w:val="22"/>
        </w:rPr>
        <w:t>Ai fini della applicazione dei principi di trasparenza e integrità</w:t>
      </w:r>
      <w:r>
        <w:t xml:space="preserve">, EBS </w:t>
      </w:r>
      <w:r w:rsidR="00ED781B">
        <w:t xml:space="preserve">e ASP </w:t>
      </w:r>
      <w:r>
        <w:t>pubblica</w:t>
      </w:r>
      <w:r w:rsidR="00ED781B">
        <w:t>no</w:t>
      </w:r>
      <w:r>
        <w:t xml:space="preserve"> su</w:t>
      </w:r>
      <w:r w:rsidR="00ED781B">
        <w:t>i</w:t>
      </w:r>
      <w:r>
        <w:t xml:space="preserve"> prop</w:t>
      </w:r>
      <w:r w:rsidR="00ED781B">
        <w:t>ri</w:t>
      </w:r>
      <w:r>
        <w:t xml:space="preserve"> sit</w:t>
      </w:r>
      <w:r w:rsidR="00ED781B">
        <w:t>i</w:t>
      </w:r>
      <w:r>
        <w:t xml:space="preserve"> web -Sezione intitolata “</w:t>
      </w:r>
      <w:r>
        <w:rPr>
          <w:u w:val="single"/>
        </w:rPr>
        <w:t xml:space="preserve">AMMINISTRAZIONE </w:t>
      </w:r>
      <w:proofErr w:type="gramStart"/>
      <w:r>
        <w:rPr>
          <w:u w:val="single"/>
        </w:rPr>
        <w:t>TRASPARENTE</w:t>
      </w:r>
      <w:r>
        <w:t>”-</w:t>
      </w:r>
      <w:proofErr w:type="gramEnd"/>
      <w:r>
        <w:t xml:space="preserve"> i dati ex lege</w:t>
      </w:r>
      <w:r>
        <w:rPr>
          <w:spacing w:val="-5"/>
        </w:rPr>
        <w:t xml:space="preserve"> </w:t>
      </w:r>
      <w:r>
        <w:t>richiesti.</w:t>
      </w:r>
    </w:p>
    <w:p w14:paraId="13FCE366" w14:textId="77777777" w:rsidR="00ED781B" w:rsidRDefault="00ED781B" w:rsidP="002034D7">
      <w:pPr>
        <w:pStyle w:val="Corpotesto"/>
        <w:spacing w:before="201" w:line="360" w:lineRule="auto"/>
        <w:ind w:left="812" w:right="811"/>
        <w:jc w:val="both"/>
      </w:pPr>
      <w:r w:rsidRPr="00ED781B">
        <w:t>Il</w:t>
      </w:r>
      <w:r w:rsidR="009129B7" w:rsidRPr="00ED781B">
        <w:t xml:space="preserve"> disposto</w:t>
      </w:r>
      <w:r w:rsidR="006C6404">
        <w:t xml:space="preserve"> del </w:t>
      </w:r>
      <w:r w:rsidR="009129B7" w:rsidRPr="00ED781B">
        <w:t>decreto legislativo sulla trasparenza del 25 maggio 2016, n. 97  denominato “</w:t>
      </w:r>
      <w:r w:rsidR="009129B7" w:rsidRPr="00ED781B">
        <w:rPr>
          <w:i/>
        </w:rPr>
        <w:t xml:space="preserve">Revisione e semplificazione delle disposizioni in materia di prevenzione della corruzione, </w:t>
      </w:r>
      <w:proofErr w:type="spellStart"/>
      <w:r w:rsidR="009129B7" w:rsidRPr="00ED781B">
        <w:rPr>
          <w:i/>
        </w:rPr>
        <w:t>pubblicita'</w:t>
      </w:r>
      <w:proofErr w:type="spellEnd"/>
      <w:r w:rsidR="009129B7" w:rsidRPr="00ED781B">
        <w:rPr>
          <w:i/>
        </w:rPr>
        <w:t xml:space="preserve"> e trasparenza, correttivo della legge 6 novembre 2012, n. 190 e del decreto legislativo 14 marzo 2013, n. 33, ai sensi dell'articolo 7 della legge 7 agosto 2015, n. 124, in materia di riorganizzazione delle amministrazioni pubbliche</w:t>
      </w:r>
      <w:r w:rsidR="009129B7" w:rsidRPr="00ED781B">
        <w:t xml:space="preserve">” (GU Serie Generale n.132 del 8-6-2016), </w:t>
      </w:r>
      <w:r>
        <w:t>ha introdotto</w:t>
      </w:r>
      <w:r w:rsidR="009129B7" w:rsidRPr="00ED781B">
        <w:t xml:space="preserve"> il FOIA (Freedom of information act), ossia il diritto di accesso agli atti e ai documenti della Pubblica Amministrazione da parte dei cittadini, secondo le indicazioni valevoli per le società partecipate, come precisato dalla determina Anac </w:t>
      </w:r>
      <w:r w:rsidR="009129B7" w:rsidRPr="00ED781B">
        <w:lastRenderedPageBreak/>
        <w:t>1134/2017 (cfr. ALL.1) pubblicata in gazzetta ufficiale in data 5 dicemb</w:t>
      </w:r>
      <w:r w:rsidR="006C6404">
        <w:t>re 2017 (Serie Generale n. 284).</w:t>
      </w:r>
    </w:p>
    <w:p w14:paraId="67AC86DC" w14:textId="77777777" w:rsidR="006C6404" w:rsidRPr="006C6404" w:rsidRDefault="006C6404" w:rsidP="002034D7">
      <w:pPr>
        <w:pStyle w:val="Corpotesto"/>
        <w:spacing w:before="201" w:line="360" w:lineRule="auto"/>
        <w:ind w:left="812" w:right="811"/>
        <w:jc w:val="both"/>
      </w:pPr>
      <w:r>
        <w:t xml:space="preserve">La pagina web Amministrazione Trasparente di ASP </w:t>
      </w:r>
      <w:r w:rsidRPr="006C6404">
        <w:t xml:space="preserve">ha </w:t>
      </w:r>
      <w:r w:rsidRPr="006C6404">
        <w:rPr>
          <w:i/>
        </w:rPr>
        <w:t>format</w:t>
      </w:r>
      <w:r w:rsidRPr="006C6404">
        <w:t xml:space="preserve"> conforme all’ALL. I del Decreto 33/2013, alle determinazioni ANAC promulgate in materia e al disposto </w:t>
      </w:r>
      <w:proofErr w:type="gramStart"/>
      <w:r w:rsidRPr="006C6404">
        <w:t>del  decreto</w:t>
      </w:r>
      <w:proofErr w:type="gramEnd"/>
      <w:r w:rsidRPr="006C6404">
        <w:t xml:space="preserve"> legislativo sulla trasparenza del 25 maggio 2016, n. 97</w:t>
      </w:r>
      <w:r>
        <w:t xml:space="preserve">, nonché alle indicazioni di cui </w:t>
      </w:r>
      <w:r w:rsidRPr="006C6404">
        <w:t>alla determina Anac 1134/2017.</w:t>
      </w:r>
    </w:p>
    <w:p w14:paraId="60BE98B6" w14:textId="77777777" w:rsidR="006C6404" w:rsidRPr="006C6404" w:rsidRDefault="006C6404" w:rsidP="002034D7">
      <w:pPr>
        <w:pStyle w:val="Corpotesto"/>
        <w:spacing w:before="201" w:line="360" w:lineRule="auto"/>
        <w:ind w:left="812" w:right="811"/>
      </w:pPr>
      <w:r w:rsidRPr="006C6404">
        <w:t>La trasparenza costituisce, come noto, anche uno degli assi portanti anche delle politiche di prevenzione della corruzione; essa infatti consente:</w:t>
      </w:r>
    </w:p>
    <w:p w14:paraId="0AF56273" w14:textId="77777777" w:rsidR="006C6404" w:rsidRPr="006C6404" w:rsidRDefault="006C6404" w:rsidP="002034D7">
      <w:pPr>
        <w:pStyle w:val="Corpotesto"/>
        <w:spacing w:before="201" w:line="360" w:lineRule="auto"/>
        <w:ind w:left="812" w:right="811"/>
        <w:jc w:val="both"/>
      </w:pPr>
      <w:r w:rsidRPr="006C6404">
        <w:t>-</w:t>
      </w:r>
      <w:r w:rsidRPr="006C6404">
        <w:tab/>
        <w:t>la conoscenza dei responsabili del procedimento;</w:t>
      </w:r>
    </w:p>
    <w:p w14:paraId="02CE9193" w14:textId="77777777" w:rsidR="006C6404" w:rsidRPr="006C6404" w:rsidRDefault="006C6404" w:rsidP="002034D7">
      <w:pPr>
        <w:pStyle w:val="Corpotesto"/>
        <w:spacing w:before="201" w:line="360" w:lineRule="auto"/>
        <w:ind w:left="812" w:right="811"/>
        <w:jc w:val="both"/>
      </w:pPr>
      <w:r w:rsidRPr="006C6404">
        <w:t>-</w:t>
      </w:r>
      <w:r w:rsidRPr="006C6404">
        <w:tab/>
        <w:t>la conoscenza dei presupposti per l’avvio e lo svolgimento del procedimento e se ci sono blocchi anomali dello stesso;</w:t>
      </w:r>
    </w:p>
    <w:p w14:paraId="49B365EE" w14:textId="77777777" w:rsidR="006C6404" w:rsidRPr="006C6404" w:rsidRDefault="006C6404" w:rsidP="002034D7">
      <w:pPr>
        <w:pStyle w:val="Corpotesto"/>
        <w:spacing w:before="201" w:line="360" w:lineRule="auto"/>
        <w:ind w:left="812" w:right="811"/>
        <w:jc w:val="both"/>
      </w:pPr>
      <w:r w:rsidRPr="006C6404">
        <w:t>-</w:t>
      </w:r>
      <w:r w:rsidRPr="006C6404">
        <w:tab/>
        <w:t>la conoscenza del modo in cui le risorse pubbliche sono impiegate e se l’utilizzo di tali risorse è deviato verso finalità improprie;</w:t>
      </w:r>
    </w:p>
    <w:p w14:paraId="025A37C7" w14:textId="77777777" w:rsidR="006C6404" w:rsidRPr="006C6404" w:rsidRDefault="006C6404" w:rsidP="002034D7">
      <w:pPr>
        <w:pStyle w:val="Corpotesto"/>
        <w:spacing w:before="201" w:line="360" w:lineRule="auto"/>
        <w:ind w:left="812" w:right="811"/>
        <w:jc w:val="both"/>
      </w:pPr>
      <w:r w:rsidRPr="006C6404">
        <w:t>-</w:t>
      </w:r>
      <w:r w:rsidRPr="006C6404">
        <w:tab/>
        <w:t>la conoscenza della situazione patrimoniale di politici e dirigenti e il controllo circa arricchimenti anomali verificatisi durante lo svolgimento del loro mandato.</w:t>
      </w:r>
    </w:p>
    <w:p w14:paraId="5A1A8F61" w14:textId="2C0862A3" w:rsidR="006C6404" w:rsidRDefault="006C6404" w:rsidP="002034D7">
      <w:pPr>
        <w:pStyle w:val="Corpotesto"/>
        <w:spacing w:before="201" w:line="360" w:lineRule="auto"/>
        <w:ind w:left="812" w:right="811"/>
        <w:jc w:val="both"/>
      </w:pPr>
      <w:r w:rsidRPr="006C6404">
        <w:t xml:space="preserve">A seguito della corretta strutturazione della pagina “Amministrazione Trasparente” del sito web l’obiettivo è quello di mantenere aggiornate le pubblicazioni </w:t>
      </w:r>
      <w:r w:rsidRPr="006C6404">
        <w:rPr>
          <w:i/>
        </w:rPr>
        <w:t>ex lege</w:t>
      </w:r>
      <w:r w:rsidRPr="006C6404">
        <w:t xml:space="preserve"> previste.</w:t>
      </w:r>
    </w:p>
    <w:p w14:paraId="5EBA1E11" w14:textId="77777777" w:rsidR="00E613A8" w:rsidRPr="00E613A8" w:rsidRDefault="00E613A8" w:rsidP="00E613A8">
      <w:pPr>
        <w:pStyle w:val="Corpotesto"/>
        <w:spacing w:before="201" w:line="360" w:lineRule="auto"/>
        <w:ind w:left="812" w:right="811"/>
        <w:jc w:val="both"/>
      </w:pPr>
      <w:proofErr w:type="gramStart"/>
      <w:r w:rsidRPr="00E613A8">
        <w:t>E’</w:t>
      </w:r>
      <w:proofErr w:type="gramEnd"/>
      <w:r w:rsidRPr="00E613A8">
        <w:t>, peraltro, significativo che dal 01/01/2024 entrerà in vigore l’art 28 del D Lgs 36/2023, rubricato “trasparenza dei contratti pubblici” e Go Imperia dovrà assolvere agli obblighi di pubblicazione in materia di contratti pubblici secondo un doppio binario:</w:t>
      </w:r>
    </w:p>
    <w:p w14:paraId="25204AAB" w14:textId="77777777" w:rsidR="00E613A8" w:rsidRPr="00E613A8" w:rsidRDefault="00E613A8" w:rsidP="00E613A8">
      <w:pPr>
        <w:pStyle w:val="Corpotesto"/>
        <w:numPr>
          <w:ilvl w:val="0"/>
          <w:numId w:val="43"/>
        </w:numPr>
        <w:tabs>
          <w:tab w:val="clear" w:pos="720"/>
          <w:tab w:val="num" w:pos="1134"/>
        </w:tabs>
        <w:spacing w:before="201" w:line="360" w:lineRule="auto"/>
        <w:ind w:left="851" w:right="811" w:hanging="11"/>
        <w:jc w:val="both"/>
      </w:pPr>
      <w:r w:rsidRPr="00E613A8">
        <w:t>per tutti i dati che l’art. 10 della delibera Anac 261/2023 individua come oggetto di comunicazione alla Banca Dati Nazionale dei Contratti Pubblici (“BDNCP”), attraverso l’inserimento sul sito istituzionale, nella sezione “Società trasparente”, sotto-sezione “</w:t>
      </w:r>
      <w:r w:rsidRPr="00E613A8">
        <w:rPr>
          <w:i/>
          <w:iCs/>
        </w:rPr>
        <w:t>bandi di gara e</w:t>
      </w:r>
      <w:r w:rsidRPr="00E613A8">
        <w:t> </w:t>
      </w:r>
      <w:r w:rsidRPr="00E613A8">
        <w:rPr>
          <w:i/>
          <w:iCs/>
        </w:rPr>
        <w:t>contratti</w:t>
      </w:r>
      <w:r w:rsidRPr="00E613A8">
        <w:t>”, di un collegamento ipertestuale che rinvia ai dati relativi al ciclo di vita del contratto, previamente comunicati alla BDNCP e da questa resi pubblici, secondo le modalità indicate nella medesima deliberazione;</w:t>
      </w:r>
    </w:p>
    <w:p w14:paraId="62DD4973" w14:textId="77777777" w:rsidR="00E613A8" w:rsidRPr="00E613A8" w:rsidRDefault="00E613A8" w:rsidP="00E613A8">
      <w:pPr>
        <w:pStyle w:val="Corpotesto"/>
        <w:numPr>
          <w:ilvl w:val="0"/>
          <w:numId w:val="43"/>
        </w:numPr>
        <w:tabs>
          <w:tab w:val="clear" w:pos="720"/>
          <w:tab w:val="num" w:pos="1134"/>
        </w:tabs>
        <w:spacing w:before="201" w:line="360" w:lineRule="auto"/>
        <w:ind w:left="851" w:right="811" w:hanging="11"/>
        <w:jc w:val="both"/>
      </w:pPr>
      <w:r w:rsidRPr="00E613A8">
        <w:t>per gli atti, i dati e le informazioni che non debbono essere comunicati alla BDNCP, come analiticamente individuati dall’allegato 1 della delibera Anac n. 264/2023, attraverso la loro pubblicazione tempestiva in formato aperto a cura della stazione appaltante nella sezione del sito “Società Trasparente”, sotto-sezione “</w:t>
      </w:r>
      <w:r w:rsidRPr="00E613A8">
        <w:rPr>
          <w:i/>
          <w:iCs/>
        </w:rPr>
        <w:t>bandi di gara e</w:t>
      </w:r>
      <w:r w:rsidRPr="00E613A8">
        <w:t> </w:t>
      </w:r>
      <w:r w:rsidRPr="00E613A8">
        <w:rPr>
          <w:i/>
          <w:iCs/>
        </w:rPr>
        <w:t>contratti</w:t>
      </w:r>
      <w:r w:rsidRPr="00E613A8">
        <w:t>”.</w:t>
      </w:r>
    </w:p>
    <w:p w14:paraId="5E57BDFB" w14:textId="77777777" w:rsidR="00E613A8" w:rsidRPr="00E613A8" w:rsidRDefault="00E613A8" w:rsidP="00E613A8">
      <w:pPr>
        <w:pStyle w:val="Corpotesto"/>
        <w:spacing w:before="201" w:line="360" w:lineRule="auto"/>
        <w:ind w:left="812" w:right="811"/>
        <w:jc w:val="both"/>
      </w:pPr>
      <w:r w:rsidRPr="00E613A8">
        <w:lastRenderedPageBreak/>
        <w:t>Dalla applicazione della nuova normativa deriverà, con tutta evidenza, anche la necessità di strutturare la sezione del sito secondo le indicazioni fornite da Anac (già con PNA 2023).</w:t>
      </w:r>
    </w:p>
    <w:p w14:paraId="47FB5E06" w14:textId="0A716B8F" w:rsidR="007C1F7C" w:rsidRPr="002627F4" w:rsidRDefault="007C1F7C" w:rsidP="00D506C9">
      <w:pPr>
        <w:pStyle w:val="Titolo1"/>
        <w:numPr>
          <w:ilvl w:val="0"/>
          <w:numId w:val="36"/>
        </w:numPr>
        <w:tabs>
          <w:tab w:val="left" w:pos="1113"/>
        </w:tabs>
        <w:spacing w:before="0" w:line="360" w:lineRule="auto"/>
        <w:ind w:hanging="644"/>
        <w:jc w:val="both"/>
        <w:rPr>
          <w:smallCaps/>
        </w:rPr>
      </w:pPr>
      <w:bookmarkStart w:id="80" w:name="_Toc220506584"/>
      <w:r w:rsidRPr="002627F4">
        <w:rPr>
          <w:smallCaps/>
        </w:rPr>
        <w:t>Flussi Informativi e tabella oneri di pubblicazione</w:t>
      </w:r>
      <w:bookmarkEnd w:id="80"/>
    </w:p>
    <w:p w14:paraId="1152D83C" w14:textId="07F76648" w:rsidR="00ED781B" w:rsidRPr="00ED781B" w:rsidRDefault="009129B7" w:rsidP="002034D7">
      <w:pPr>
        <w:pStyle w:val="Corpotesto"/>
        <w:spacing w:before="201" w:line="360" w:lineRule="auto"/>
        <w:ind w:left="812" w:right="811"/>
        <w:jc w:val="both"/>
        <w:rPr>
          <w:rFonts w:eastAsia="Times New Roman" w:cs="Arial"/>
          <w:i/>
          <w:lang w:eastAsia="en-US" w:bidi="ar-SA"/>
        </w:rPr>
      </w:pPr>
      <w:r w:rsidRPr="00ED781B">
        <w:t xml:space="preserve">Ai sensi </w:t>
      </w:r>
      <w:r w:rsidR="00651949">
        <w:t>dell’a</w:t>
      </w:r>
      <w:r w:rsidRPr="00ED781B">
        <w:t xml:space="preserve">rt. </w:t>
      </w:r>
      <w:bookmarkStart w:id="81" w:name="43"/>
      <w:r w:rsidRPr="00ED781B">
        <w:t>43</w:t>
      </w:r>
      <w:bookmarkEnd w:id="81"/>
      <w:r w:rsidRPr="00ED781B">
        <w:t xml:space="preserve">. del </w:t>
      </w:r>
      <w:proofErr w:type="spellStart"/>
      <w:r w:rsidRPr="00ED781B">
        <w:t>D.Lgs</w:t>
      </w:r>
      <w:proofErr w:type="spellEnd"/>
      <w:r w:rsidRPr="00ED781B">
        <w:t xml:space="preserve"> 33/2013</w:t>
      </w:r>
      <w:r w:rsidRPr="00ED781B">
        <w:rPr>
          <w:rFonts w:eastAsia="Times New Roman" w:cs="Arial"/>
          <w:b/>
          <w:bCs/>
          <w:i/>
          <w:lang w:eastAsia="en-US" w:bidi="ar-SA"/>
        </w:rPr>
        <w:t xml:space="preserve"> «</w:t>
      </w:r>
      <w:r w:rsidRPr="00ED781B">
        <w:rPr>
          <w:rFonts w:eastAsia="Times New Roman" w:cs="Arial"/>
          <w:i/>
          <w:lang w:eastAsia="en-US" w:bidi="ar-SA"/>
        </w:rPr>
        <w:t xml:space="preserve">1. All'interno di ogni amministrazione il responsabile per la prevenzione della corruzione, di cui all'articolo 1, comma 7, della legge 6 novembre 2012, n. 190, svolge, di norma, le funzioni di Responsabile per la trasparenza, di seguito «Responsabile», e il suo nominativo è indicato nel Piano triennale per la prevenzione della corruzione. Il responsabile svolge stabilmente un'attività di controllo sull'adempimento da parte dell'amministrazione degli obblighi di pubblicazione previsti dalla normativa vigente, assicurando la completezza, la chiarezza e l'aggiornamento delle informazioni pubblicate, nonché segnalando all'organo di indirizzo politico, all'Organismo indipendente di valutazione (OIV), all'Autorità nazionale anticorruzione e, nei casi più gravi, all'ufficio di disciplina i casi di mancato o ritardato adempimento degli obblighi di pubblicazione. </w:t>
      </w:r>
    </w:p>
    <w:p w14:paraId="323E3749" w14:textId="77777777" w:rsidR="00ED781B" w:rsidRPr="00ED781B" w:rsidRDefault="009129B7" w:rsidP="002034D7">
      <w:pPr>
        <w:pStyle w:val="Corpotesto"/>
        <w:spacing w:before="201" w:line="360" w:lineRule="auto"/>
        <w:ind w:left="812" w:right="811"/>
        <w:jc w:val="both"/>
        <w:rPr>
          <w:rFonts w:eastAsia="Times New Roman" w:cs="Arial"/>
          <w:i/>
          <w:iCs/>
          <w:lang w:eastAsia="en-US" w:bidi="ar-SA"/>
        </w:rPr>
      </w:pPr>
      <w:r w:rsidRPr="00ED781B">
        <w:rPr>
          <w:rFonts w:eastAsia="Times New Roman" w:cs="Arial"/>
          <w:i/>
          <w:lang w:eastAsia="en-US" w:bidi="ar-SA"/>
        </w:rPr>
        <w:t xml:space="preserve">2. </w:t>
      </w:r>
      <w:r w:rsidRPr="00ED781B">
        <w:rPr>
          <w:rFonts w:eastAsia="Times New Roman" w:cs="Arial"/>
          <w:i/>
          <w:iCs/>
          <w:lang w:eastAsia="en-US" w:bidi="ar-SA"/>
        </w:rPr>
        <w:t>(comma abrogato dall'</w:t>
      </w:r>
      <w:hyperlink r:id="rId22" w:anchor="34" w:history="1">
        <w:r w:rsidRPr="00ED781B">
          <w:rPr>
            <w:rFonts w:eastAsia="Times New Roman" w:cs="Arial"/>
            <w:i/>
            <w:iCs/>
            <w:lang w:eastAsia="en-US" w:bidi="ar-SA"/>
          </w:rPr>
          <w:t>art. 34 del d.lgs. n. 97 del 2016</w:t>
        </w:r>
      </w:hyperlink>
      <w:r w:rsidRPr="00ED781B">
        <w:rPr>
          <w:rFonts w:eastAsia="Times New Roman" w:cs="Arial"/>
          <w:i/>
          <w:iCs/>
          <w:lang w:eastAsia="en-US" w:bidi="ar-SA"/>
        </w:rPr>
        <w:t>)</w:t>
      </w:r>
    </w:p>
    <w:p w14:paraId="17DBBBEC" w14:textId="77777777" w:rsidR="00ED781B" w:rsidRDefault="009129B7" w:rsidP="002034D7">
      <w:pPr>
        <w:pStyle w:val="Corpotesto"/>
        <w:spacing w:before="201" w:line="360" w:lineRule="auto"/>
        <w:ind w:left="812" w:right="811"/>
        <w:jc w:val="both"/>
        <w:rPr>
          <w:rFonts w:eastAsia="Times New Roman" w:cs="Arial"/>
          <w:i/>
          <w:lang w:eastAsia="en-US" w:bidi="ar-SA"/>
        </w:rPr>
      </w:pPr>
      <w:r w:rsidRPr="00ED781B">
        <w:rPr>
          <w:rFonts w:eastAsia="Times New Roman" w:cs="Arial"/>
          <w:i/>
          <w:lang w:eastAsia="en-US" w:bidi="ar-SA"/>
        </w:rPr>
        <w:t xml:space="preserve">3. I dirigenti responsabili degli uffici dell'amministrazione garantiscono il tempestivo e regolare flusso delle informazioni da pubblicare ai fini del rispetto dei termini stabiliti dalla legge. </w:t>
      </w:r>
    </w:p>
    <w:p w14:paraId="63C4FC63" w14:textId="77777777" w:rsidR="00ED781B" w:rsidRDefault="009129B7" w:rsidP="002034D7">
      <w:pPr>
        <w:pStyle w:val="Corpotesto"/>
        <w:spacing w:before="201" w:line="360" w:lineRule="auto"/>
        <w:ind w:left="812" w:right="811"/>
        <w:jc w:val="both"/>
        <w:rPr>
          <w:rFonts w:eastAsia="Times New Roman" w:cs="Arial"/>
          <w:i/>
          <w:iCs/>
          <w:lang w:eastAsia="en-US" w:bidi="ar-SA"/>
        </w:rPr>
      </w:pPr>
      <w:r w:rsidRPr="00ED781B">
        <w:rPr>
          <w:rFonts w:eastAsia="Times New Roman" w:cs="Arial"/>
          <w:i/>
          <w:lang w:eastAsia="en-US" w:bidi="ar-SA"/>
        </w:rPr>
        <w:t>4. I dirigenti responsabili dell'amministrazione e il responsabile per la trasparenza controllano e assicurano la regolare attuazione dell'accesso civico sulla base di quanto</w:t>
      </w:r>
      <w:r w:rsidR="00ED781B">
        <w:rPr>
          <w:rFonts w:eastAsia="Times New Roman" w:cs="Arial"/>
          <w:i/>
          <w:lang w:eastAsia="en-US" w:bidi="ar-SA"/>
        </w:rPr>
        <w:t xml:space="preserve"> stabilito dal presente decreto </w:t>
      </w:r>
      <w:r w:rsidRPr="00ED781B">
        <w:rPr>
          <w:rFonts w:eastAsia="Times New Roman" w:cs="Arial"/>
          <w:i/>
          <w:iCs/>
          <w:lang w:eastAsia="en-US" w:bidi="ar-SA"/>
        </w:rPr>
        <w:t>(comma così sostituito dall'</w:t>
      </w:r>
      <w:hyperlink r:id="rId23" w:anchor="34" w:history="1">
        <w:r w:rsidRPr="00ED781B">
          <w:rPr>
            <w:rFonts w:eastAsia="Times New Roman" w:cs="Arial"/>
            <w:i/>
            <w:iCs/>
            <w:lang w:eastAsia="en-US" w:bidi="ar-SA"/>
          </w:rPr>
          <w:t>art. 34 del d.lgs. n. 97 del 2016</w:t>
        </w:r>
      </w:hyperlink>
      <w:r w:rsidRPr="00ED781B">
        <w:rPr>
          <w:rFonts w:eastAsia="Times New Roman" w:cs="Arial"/>
          <w:i/>
          <w:iCs/>
          <w:lang w:eastAsia="en-US" w:bidi="ar-SA"/>
        </w:rPr>
        <w:t>)</w:t>
      </w:r>
    </w:p>
    <w:p w14:paraId="17134FE3" w14:textId="77777777" w:rsidR="00ED781B" w:rsidRDefault="009129B7" w:rsidP="002034D7">
      <w:pPr>
        <w:pStyle w:val="Corpotesto"/>
        <w:spacing w:before="201" w:line="360" w:lineRule="auto"/>
        <w:ind w:left="812" w:right="811"/>
        <w:jc w:val="both"/>
        <w:rPr>
          <w:rFonts w:eastAsia="Times New Roman" w:cs="Arial"/>
          <w:lang w:eastAsia="en-US" w:bidi="ar-SA"/>
        </w:rPr>
      </w:pPr>
      <w:r w:rsidRPr="00ED781B">
        <w:rPr>
          <w:rFonts w:eastAsia="Times New Roman" w:cs="Arial"/>
          <w:i/>
          <w:lang w:eastAsia="en-US" w:bidi="ar-SA"/>
        </w:rPr>
        <w:t>5. In relazione alla loro gravità, il responsabile segnala i casi di inadempimento o di adempimento parziale degli obblighi in materia di pubblicazione previsti dalla normativa vigente, all'ufficio di disciplina, ai fini dell'eventuale attivazione del procedimento disciplinare. Il responsabile segnala altresì gli inadempimenti al vertice politico dell'amministrazione, all'OIV ai fini dell'attivazione delle altre forme di responsabilità</w:t>
      </w:r>
      <w:r w:rsidRPr="00ED781B">
        <w:rPr>
          <w:rFonts w:eastAsia="Times New Roman" w:cs="Arial"/>
          <w:lang w:eastAsia="en-US" w:bidi="ar-SA"/>
        </w:rPr>
        <w:t>».</w:t>
      </w:r>
    </w:p>
    <w:p w14:paraId="5AEC7CD9" w14:textId="77777777" w:rsidR="009129B7" w:rsidRPr="00ED781B" w:rsidRDefault="009129B7" w:rsidP="002034D7">
      <w:pPr>
        <w:pStyle w:val="Corpotesto"/>
        <w:spacing w:before="201" w:line="360" w:lineRule="auto"/>
        <w:ind w:left="812" w:right="811"/>
        <w:jc w:val="both"/>
        <w:rPr>
          <w:rFonts w:eastAsia="Times New Roman" w:cs="Arial"/>
          <w:i/>
          <w:lang w:eastAsia="en-US" w:bidi="ar-SA"/>
        </w:rPr>
      </w:pPr>
      <w:r w:rsidRPr="00ED781B">
        <w:rPr>
          <w:rFonts w:eastAsia="Times New Roman" w:cs="Arial"/>
          <w:lang w:eastAsia="en-US" w:bidi="ar-SA"/>
        </w:rPr>
        <w:t>In virtù della organizzazione aziendale si ricorda come i poteri decisionali siano tutti accentrati nell’Organo Gestorio (</w:t>
      </w:r>
      <w:r w:rsidR="00ED781B">
        <w:rPr>
          <w:rFonts w:eastAsia="Times New Roman" w:cs="Arial"/>
          <w:lang w:eastAsia="en-US" w:bidi="ar-SA"/>
        </w:rPr>
        <w:t>Commissario Straordinario e A.U.)</w:t>
      </w:r>
      <w:r w:rsidRPr="00ED781B">
        <w:rPr>
          <w:rFonts w:eastAsia="Times New Roman" w:cs="Arial"/>
          <w:lang w:eastAsia="en-US" w:bidi="ar-SA"/>
        </w:rPr>
        <w:t xml:space="preserve"> e che la gestione del sito e delle pubblicazioni sia affidata </w:t>
      </w:r>
      <w:r w:rsidR="00ED781B">
        <w:rPr>
          <w:rFonts w:eastAsia="Times New Roman" w:cs="Arial"/>
          <w:lang w:eastAsia="en-US" w:bidi="ar-SA"/>
        </w:rPr>
        <w:t>al RPCT con il supporto di apposita risorsa aziendale.</w:t>
      </w:r>
    </w:p>
    <w:p w14:paraId="3D7E7250" w14:textId="77777777" w:rsidR="009129B7" w:rsidRPr="00ED781B" w:rsidRDefault="005726B8" w:rsidP="002034D7">
      <w:pPr>
        <w:widowControl/>
        <w:autoSpaceDE/>
        <w:autoSpaceDN/>
        <w:spacing w:line="360" w:lineRule="auto"/>
        <w:ind w:left="851"/>
        <w:jc w:val="both"/>
        <w:rPr>
          <w:rFonts w:eastAsia="Times New Roman" w:cs="Arial"/>
          <w:bCs/>
          <w:sz w:val="21"/>
          <w:szCs w:val="21"/>
          <w:lang w:eastAsia="en-US" w:bidi="ar-SA"/>
        </w:rPr>
      </w:pPr>
      <w:r>
        <w:rPr>
          <w:rFonts w:eastAsia="Times New Roman" w:cs="Arial"/>
          <w:bCs/>
          <w:sz w:val="21"/>
          <w:szCs w:val="21"/>
          <w:lang w:eastAsia="en-US" w:bidi="ar-SA"/>
        </w:rPr>
        <w:t xml:space="preserve">In merito ai flussi informativi possono essere </w:t>
      </w:r>
      <w:r w:rsidR="009129B7" w:rsidRPr="00ED781B">
        <w:rPr>
          <w:rFonts w:eastAsia="Times New Roman" w:cs="Arial"/>
          <w:bCs/>
          <w:sz w:val="21"/>
          <w:szCs w:val="21"/>
          <w:lang w:eastAsia="en-US" w:bidi="ar-SA"/>
        </w:rPr>
        <w:t>identifica</w:t>
      </w:r>
      <w:r>
        <w:rPr>
          <w:rFonts w:eastAsia="Times New Roman" w:cs="Arial"/>
          <w:bCs/>
          <w:sz w:val="21"/>
          <w:szCs w:val="21"/>
          <w:lang w:eastAsia="en-US" w:bidi="ar-SA"/>
        </w:rPr>
        <w:t>te</w:t>
      </w:r>
      <w:r w:rsidR="009129B7" w:rsidRPr="00ED781B">
        <w:rPr>
          <w:rFonts w:eastAsia="Times New Roman" w:cs="Arial"/>
          <w:bCs/>
          <w:sz w:val="21"/>
          <w:szCs w:val="21"/>
          <w:lang w:eastAsia="en-US" w:bidi="ar-SA"/>
        </w:rPr>
        <w:t xml:space="preserve"> le seguenti tipologie di flussi:</w:t>
      </w:r>
    </w:p>
    <w:p w14:paraId="36F44CF7" w14:textId="77777777" w:rsidR="00ED781B" w:rsidRDefault="009129B7" w:rsidP="00D506C9">
      <w:pPr>
        <w:widowControl/>
        <w:numPr>
          <w:ilvl w:val="0"/>
          <w:numId w:val="9"/>
        </w:numPr>
        <w:autoSpaceDE/>
        <w:autoSpaceDN/>
        <w:spacing w:after="200" w:line="360" w:lineRule="auto"/>
        <w:ind w:left="851" w:right="780" w:firstLine="0"/>
        <w:jc w:val="both"/>
        <w:rPr>
          <w:rFonts w:eastAsia="Times New Roman" w:cs="Arial"/>
          <w:sz w:val="21"/>
          <w:szCs w:val="21"/>
          <w:lang w:eastAsia="en-US" w:bidi="ar-SA"/>
        </w:rPr>
      </w:pPr>
      <w:r w:rsidRPr="00ED781B">
        <w:rPr>
          <w:rFonts w:eastAsia="Times New Roman" w:cs="Arial"/>
          <w:b/>
          <w:sz w:val="21"/>
          <w:szCs w:val="21"/>
          <w:lang w:eastAsia="en-US" w:bidi="ar-SA"/>
        </w:rPr>
        <w:t>Flusso informativo fisiologico:</w:t>
      </w:r>
      <w:r w:rsidRPr="00ED781B">
        <w:rPr>
          <w:rFonts w:eastAsia="Times New Roman" w:cs="Arial"/>
          <w:sz w:val="21"/>
          <w:szCs w:val="21"/>
          <w:lang w:eastAsia="en-US" w:bidi="ar-SA"/>
        </w:rPr>
        <w:t xml:space="preserve"> trattasi di un flusso periodico in ragione della sua propria natura; </w:t>
      </w:r>
    </w:p>
    <w:p w14:paraId="55397AC4" w14:textId="77777777" w:rsidR="00ED781B" w:rsidRDefault="009129B7" w:rsidP="00D506C9">
      <w:pPr>
        <w:widowControl/>
        <w:numPr>
          <w:ilvl w:val="0"/>
          <w:numId w:val="9"/>
        </w:numPr>
        <w:autoSpaceDE/>
        <w:autoSpaceDN/>
        <w:spacing w:after="200" w:line="360" w:lineRule="auto"/>
        <w:ind w:left="851" w:right="780" w:firstLine="0"/>
        <w:jc w:val="both"/>
        <w:rPr>
          <w:rFonts w:eastAsia="Times New Roman" w:cs="Arial"/>
          <w:sz w:val="21"/>
          <w:szCs w:val="21"/>
          <w:lang w:eastAsia="en-US" w:bidi="ar-SA"/>
        </w:rPr>
      </w:pPr>
      <w:r w:rsidRPr="00ED781B">
        <w:rPr>
          <w:rFonts w:eastAsia="Times New Roman" w:cs="Arial"/>
          <w:b/>
          <w:sz w:val="21"/>
          <w:szCs w:val="21"/>
          <w:lang w:eastAsia="en-US" w:bidi="ar-SA"/>
        </w:rPr>
        <w:lastRenderedPageBreak/>
        <w:t>Flusso informativo ad hoc:</w:t>
      </w:r>
      <w:r w:rsidRPr="00ED781B">
        <w:rPr>
          <w:rFonts w:eastAsia="Times New Roman" w:cs="Arial"/>
          <w:sz w:val="21"/>
          <w:szCs w:val="21"/>
          <w:lang w:eastAsia="en-US" w:bidi="ar-SA"/>
        </w:rPr>
        <w:t xml:space="preserve"> trattasi di un flusso che si rende necessario/opportuno al verificarsi di particolari eventi e/o situazioni e/o criticità;</w:t>
      </w:r>
    </w:p>
    <w:p w14:paraId="1927A5A5" w14:textId="77777777" w:rsidR="009129B7" w:rsidRPr="00ED781B" w:rsidRDefault="009129B7" w:rsidP="00D506C9">
      <w:pPr>
        <w:widowControl/>
        <w:numPr>
          <w:ilvl w:val="0"/>
          <w:numId w:val="9"/>
        </w:numPr>
        <w:autoSpaceDE/>
        <w:autoSpaceDN/>
        <w:spacing w:after="200" w:line="360" w:lineRule="auto"/>
        <w:ind w:left="851" w:right="497" w:firstLine="0"/>
        <w:rPr>
          <w:rFonts w:eastAsia="Times New Roman" w:cs="Arial"/>
          <w:sz w:val="21"/>
          <w:szCs w:val="21"/>
          <w:lang w:eastAsia="en-US" w:bidi="ar-SA"/>
        </w:rPr>
      </w:pPr>
      <w:r w:rsidRPr="00ED781B">
        <w:rPr>
          <w:rFonts w:eastAsia="Times New Roman" w:cs="Arial"/>
          <w:b/>
          <w:sz w:val="21"/>
          <w:szCs w:val="21"/>
          <w:lang w:eastAsia="en-US" w:bidi="ar-SA"/>
        </w:rPr>
        <w:t>Segnalazioni</w:t>
      </w:r>
      <w:r w:rsidRPr="00ED781B">
        <w:rPr>
          <w:rFonts w:eastAsia="Times New Roman" w:cs="Arial"/>
          <w:sz w:val="21"/>
          <w:szCs w:val="21"/>
          <w:lang w:eastAsia="en-US" w:bidi="ar-SA"/>
        </w:rPr>
        <w:t xml:space="preserve"> da parte di dipendenti, collaboratori, soggetti esterni.</w:t>
      </w:r>
    </w:p>
    <w:p w14:paraId="210A68C2" w14:textId="54A92ED4" w:rsidR="009129B7" w:rsidRPr="00ED781B" w:rsidRDefault="009129B7" w:rsidP="002034D7">
      <w:pPr>
        <w:widowControl/>
        <w:autoSpaceDE/>
        <w:autoSpaceDN/>
        <w:spacing w:line="360" w:lineRule="auto"/>
        <w:ind w:left="851" w:right="497"/>
        <w:jc w:val="both"/>
        <w:rPr>
          <w:rFonts w:eastAsia="Times New Roman" w:cs="Arial"/>
          <w:sz w:val="21"/>
          <w:szCs w:val="21"/>
          <w:lang w:eastAsia="en-US" w:bidi="ar-SA"/>
        </w:rPr>
      </w:pPr>
      <w:r w:rsidRPr="00ED781B">
        <w:rPr>
          <w:rFonts w:eastAsia="Times New Roman" w:cs="Arial"/>
          <w:sz w:val="21"/>
          <w:szCs w:val="21"/>
          <w:lang w:eastAsia="en-US" w:bidi="ar-SA"/>
        </w:rPr>
        <w:t>Il diagramma</w:t>
      </w:r>
      <w:r w:rsidR="005726B8">
        <w:rPr>
          <w:rFonts w:eastAsia="Times New Roman" w:cs="Arial"/>
          <w:sz w:val="21"/>
          <w:szCs w:val="21"/>
          <w:lang w:eastAsia="en-US" w:bidi="ar-SA"/>
        </w:rPr>
        <w:t xml:space="preserve"> di seguito riprodotto</w:t>
      </w:r>
      <w:r w:rsidRPr="00ED781B">
        <w:rPr>
          <w:rFonts w:eastAsia="Times New Roman" w:cs="Arial"/>
          <w:sz w:val="21"/>
          <w:szCs w:val="21"/>
          <w:lang w:eastAsia="en-US" w:bidi="ar-SA"/>
        </w:rPr>
        <w:t xml:space="preserve"> distingue altresì il trattamento:</w:t>
      </w:r>
    </w:p>
    <w:p w14:paraId="2761AEB3" w14:textId="77777777" w:rsidR="009129B7" w:rsidRPr="00ED781B" w:rsidRDefault="009129B7" w:rsidP="00D506C9">
      <w:pPr>
        <w:widowControl/>
        <w:numPr>
          <w:ilvl w:val="0"/>
          <w:numId w:val="10"/>
        </w:numPr>
        <w:autoSpaceDE/>
        <w:autoSpaceDN/>
        <w:spacing w:after="200" w:line="360" w:lineRule="auto"/>
        <w:ind w:left="851" w:right="497" w:firstLine="0"/>
        <w:jc w:val="both"/>
        <w:rPr>
          <w:rFonts w:eastAsia="Times New Roman" w:cs="Arial"/>
          <w:sz w:val="21"/>
          <w:szCs w:val="21"/>
          <w:lang w:eastAsia="en-US" w:bidi="ar-SA"/>
        </w:rPr>
      </w:pPr>
      <w:r w:rsidRPr="00ED781B">
        <w:rPr>
          <w:rFonts w:eastAsia="Times New Roman" w:cs="Arial"/>
          <w:sz w:val="21"/>
          <w:szCs w:val="21"/>
          <w:lang w:eastAsia="en-US" w:bidi="ar-SA"/>
        </w:rPr>
        <w:t xml:space="preserve">dei dati e delle informazioni che per loro natura debbono essere comunicati dall’Organo Gestorio </w:t>
      </w:r>
      <w:r w:rsidR="005726B8">
        <w:rPr>
          <w:rFonts w:eastAsia="Times New Roman" w:cs="Arial"/>
          <w:sz w:val="21"/>
          <w:szCs w:val="21"/>
          <w:lang w:eastAsia="en-US" w:bidi="ar-SA"/>
        </w:rPr>
        <w:t xml:space="preserve">(Commissario Straordinario e A.U.) </w:t>
      </w:r>
      <w:r w:rsidRPr="00ED781B">
        <w:rPr>
          <w:rFonts w:eastAsia="Times New Roman" w:cs="Arial"/>
          <w:sz w:val="21"/>
          <w:szCs w:val="21"/>
          <w:lang w:eastAsia="en-US" w:bidi="ar-SA"/>
        </w:rPr>
        <w:t>direttamente a RPCT</w:t>
      </w:r>
      <w:r w:rsidR="005726B8">
        <w:rPr>
          <w:rFonts w:eastAsia="Times New Roman" w:cs="Arial"/>
          <w:sz w:val="21"/>
          <w:szCs w:val="21"/>
          <w:lang w:eastAsia="en-US" w:bidi="ar-SA"/>
        </w:rPr>
        <w:t>,</w:t>
      </w:r>
      <w:r w:rsidRPr="00ED781B">
        <w:rPr>
          <w:rFonts w:eastAsia="Times New Roman" w:cs="Arial"/>
          <w:sz w:val="21"/>
          <w:szCs w:val="21"/>
          <w:lang w:eastAsia="en-US" w:bidi="ar-SA"/>
        </w:rPr>
        <w:t xml:space="preserve"> affinché possa assolvere alla funzione sua propria di monitoraggio e controllo (bilancio, dichiarazioni di inconferibilità e incompatibilità etc., modifiche all’organigramma);</w:t>
      </w:r>
    </w:p>
    <w:p w14:paraId="6977C2CB" w14:textId="77777777" w:rsidR="009129B7" w:rsidRPr="00ED781B" w:rsidRDefault="009129B7" w:rsidP="00D506C9">
      <w:pPr>
        <w:widowControl/>
        <w:numPr>
          <w:ilvl w:val="0"/>
          <w:numId w:val="10"/>
        </w:numPr>
        <w:autoSpaceDE/>
        <w:autoSpaceDN/>
        <w:spacing w:after="200" w:line="360" w:lineRule="auto"/>
        <w:ind w:left="851" w:right="497" w:firstLine="0"/>
        <w:jc w:val="both"/>
        <w:rPr>
          <w:rFonts w:eastAsia="Times New Roman" w:cs="Arial"/>
          <w:sz w:val="21"/>
          <w:szCs w:val="21"/>
          <w:lang w:eastAsia="en-US" w:bidi="ar-SA"/>
        </w:rPr>
      </w:pPr>
      <w:r w:rsidRPr="00ED781B">
        <w:rPr>
          <w:rFonts w:eastAsia="Times New Roman" w:cs="Arial"/>
          <w:sz w:val="21"/>
          <w:szCs w:val="21"/>
          <w:lang w:eastAsia="en-US" w:bidi="ar-SA"/>
        </w:rPr>
        <w:t xml:space="preserve">dei dati che debbono transitare alle funzioni competenti affinché diano attuazione alle decisioni dell’Organo Gestorio (affidamenti, consulenze – collaborazioni - incarichi professionali entro giorni 30 dal conferimento dell’ordine, etc.), per i quali è previsto l’invio per conoscenza al RPCT sia da parte </w:t>
      </w:r>
      <w:r w:rsidR="005726B8">
        <w:rPr>
          <w:rFonts w:eastAsia="Times New Roman" w:cs="Arial"/>
          <w:sz w:val="21"/>
          <w:szCs w:val="21"/>
          <w:lang w:eastAsia="en-US" w:bidi="ar-SA"/>
        </w:rPr>
        <w:t>del Commissario e A.U., che</w:t>
      </w:r>
      <w:r w:rsidRPr="00ED781B">
        <w:rPr>
          <w:rFonts w:eastAsia="Times New Roman" w:cs="Arial"/>
          <w:sz w:val="21"/>
          <w:szCs w:val="21"/>
          <w:lang w:eastAsia="en-US" w:bidi="ar-SA"/>
        </w:rPr>
        <w:t xml:space="preserve"> della funzione attuatrice al fine di garantire una duplice forma di comunicazione a garanzia di una più compiuta possibilità di verifica da parte di RPCT;</w:t>
      </w:r>
    </w:p>
    <w:p w14:paraId="3278E7AC" w14:textId="77777777" w:rsidR="009129B7" w:rsidRPr="00ED781B" w:rsidRDefault="009129B7" w:rsidP="00D506C9">
      <w:pPr>
        <w:widowControl/>
        <w:numPr>
          <w:ilvl w:val="0"/>
          <w:numId w:val="10"/>
        </w:numPr>
        <w:autoSpaceDE/>
        <w:autoSpaceDN/>
        <w:spacing w:after="200" w:line="360" w:lineRule="auto"/>
        <w:ind w:left="851" w:right="497" w:firstLine="0"/>
        <w:jc w:val="both"/>
        <w:rPr>
          <w:rFonts w:eastAsia="Times New Roman" w:cs="Arial"/>
          <w:sz w:val="21"/>
          <w:szCs w:val="21"/>
          <w:lang w:eastAsia="en-US" w:bidi="ar-SA"/>
        </w:rPr>
      </w:pPr>
      <w:r w:rsidRPr="00ED781B">
        <w:rPr>
          <w:rFonts w:eastAsia="Times New Roman" w:cs="Arial"/>
          <w:sz w:val="21"/>
          <w:szCs w:val="21"/>
          <w:lang w:eastAsia="en-US" w:bidi="ar-SA"/>
        </w:rPr>
        <w:t xml:space="preserve">dei dati che debbono essere ciclicamente pubblicati </w:t>
      </w:r>
      <w:r w:rsidR="005726B8">
        <w:rPr>
          <w:rFonts w:eastAsia="Times New Roman" w:cs="Arial"/>
          <w:sz w:val="21"/>
          <w:szCs w:val="21"/>
          <w:lang w:eastAsia="en-US" w:bidi="ar-SA"/>
        </w:rPr>
        <w:t>da RPCT</w:t>
      </w:r>
      <w:r w:rsidRPr="00ED781B">
        <w:rPr>
          <w:rFonts w:eastAsia="Times New Roman" w:cs="Arial"/>
          <w:sz w:val="21"/>
          <w:szCs w:val="21"/>
          <w:lang w:eastAsia="en-US" w:bidi="ar-SA"/>
        </w:rPr>
        <w:t xml:space="preserve"> (tassi di assenza annui, indicatore tempestività dei pagamenti, etc.), su </w:t>
      </w:r>
      <w:r w:rsidR="005726B8">
        <w:rPr>
          <w:rFonts w:eastAsia="Times New Roman" w:cs="Arial"/>
          <w:sz w:val="21"/>
          <w:szCs w:val="21"/>
          <w:lang w:eastAsia="en-US" w:bidi="ar-SA"/>
        </w:rPr>
        <w:t>input delle Funzioni competenti</w:t>
      </w:r>
      <w:r w:rsidRPr="00ED781B">
        <w:rPr>
          <w:rFonts w:eastAsia="Times New Roman" w:cs="Arial"/>
          <w:sz w:val="21"/>
          <w:szCs w:val="21"/>
          <w:lang w:eastAsia="en-US" w:bidi="ar-SA"/>
        </w:rPr>
        <w:t>.</w:t>
      </w:r>
    </w:p>
    <w:p w14:paraId="635C89F9" w14:textId="77777777" w:rsidR="009129B7" w:rsidRPr="00ED781B" w:rsidRDefault="009129B7" w:rsidP="002034D7">
      <w:pPr>
        <w:widowControl/>
        <w:autoSpaceDE/>
        <w:autoSpaceDN/>
        <w:spacing w:line="360" w:lineRule="auto"/>
        <w:ind w:left="851" w:right="497"/>
        <w:jc w:val="both"/>
        <w:rPr>
          <w:rFonts w:eastAsia="Times New Roman" w:cs="Arial"/>
          <w:sz w:val="21"/>
          <w:szCs w:val="21"/>
          <w:lang w:eastAsia="en-US" w:bidi="ar-SA"/>
        </w:rPr>
      </w:pPr>
      <w:r w:rsidRPr="00ED781B">
        <w:rPr>
          <w:rFonts w:eastAsia="Times New Roman" w:cs="Arial"/>
          <w:sz w:val="21"/>
          <w:szCs w:val="21"/>
          <w:lang w:eastAsia="en-US" w:bidi="ar-SA"/>
        </w:rPr>
        <w:t>I flussi informativi devono essere connotati dalle seguenti caratteristiche:</w:t>
      </w:r>
    </w:p>
    <w:p w14:paraId="70260326" w14:textId="77777777" w:rsidR="009129B7" w:rsidRPr="00ED781B" w:rsidRDefault="009129B7" w:rsidP="002034D7">
      <w:pPr>
        <w:widowControl/>
        <w:autoSpaceDE/>
        <w:autoSpaceDN/>
        <w:spacing w:line="360" w:lineRule="auto"/>
        <w:ind w:left="851" w:right="497"/>
        <w:jc w:val="both"/>
        <w:rPr>
          <w:rFonts w:eastAsia="Times New Roman" w:cs="Arial"/>
          <w:sz w:val="21"/>
          <w:szCs w:val="21"/>
          <w:lang w:eastAsia="en-US" w:bidi="ar-SA"/>
        </w:rPr>
      </w:pPr>
      <w:r w:rsidRPr="00ED781B">
        <w:rPr>
          <w:rFonts w:eastAsia="Times New Roman" w:cs="Arial"/>
          <w:sz w:val="21"/>
          <w:szCs w:val="21"/>
          <w:lang w:eastAsia="en-US" w:bidi="ar-SA"/>
        </w:rPr>
        <w:t>•</w:t>
      </w:r>
      <w:r w:rsidRPr="00ED781B">
        <w:rPr>
          <w:rFonts w:eastAsia="Times New Roman" w:cs="Arial"/>
          <w:sz w:val="21"/>
          <w:szCs w:val="21"/>
          <w:lang w:eastAsia="en-US" w:bidi="ar-SA"/>
        </w:rPr>
        <w:tab/>
        <w:t>idoneità: nel senso di rappresentare effettivamente il fenomeno monitorato (c.d. capacità segnaletica) o comunque quello per cui sono previsti</w:t>
      </w:r>
    </w:p>
    <w:p w14:paraId="7D53C602" w14:textId="77777777" w:rsidR="009129B7" w:rsidRPr="00ED781B" w:rsidRDefault="009129B7" w:rsidP="002034D7">
      <w:pPr>
        <w:widowControl/>
        <w:autoSpaceDE/>
        <w:autoSpaceDN/>
        <w:spacing w:line="360" w:lineRule="auto"/>
        <w:ind w:left="851" w:right="497"/>
        <w:jc w:val="both"/>
        <w:rPr>
          <w:rFonts w:eastAsia="Times New Roman" w:cs="Arial"/>
          <w:sz w:val="21"/>
          <w:szCs w:val="21"/>
          <w:lang w:eastAsia="en-US" w:bidi="ar-SA"/>
        </w:rPr>
      </w:pPr>
      <w:r w:rsidRPr="00ED781B">
        <w:rPr>
          <w:rFonts w:eastAsia="Times New Roman" w:cs="Arial"/>
          <w:sz w:val="21"/>
          <w:szCs w:val="21"/>
          <w:lang w:eastAsia="en-US" w:bidi="ar-SA"/>
        </w:rPr>
        <w:t>•</w:t>
      </w:r>
      <w:r w:rsidRPr="00ED781B">
        <w:rPr>
          <w:rFonts w:eastAsia="Times New Roman" w:cs="Arial"/>
          <w:sz w:val="21"/>
          <w:szCs w:val="21"/>
          <w:lang w:eastAsia="en-US" w:bidi="ar-SA"/>
        </w:rPr>
        <w:tab/>
        <w:t>attendibilità: nel senso che il dato, l’informazione, la notizia, la criticità etc. siano veritieri</w:t>
      </w:r>
    </w:p>
    <w:p w14:paraId="11E028A6" w14:textId="77777777" w:rsidR="009129B7" w:rsidRPr="00ED781B" w:rsidRDefault="009129B7" w:rsidP="002034D7">
      <w:pPr>
        <w:widowControl/>
        <w:autoSpaceDE/>
        <w:autoSpaceDN/>
        <w:spacing w:line="360" w:lineRule="auto"/>
        <w:ind w:left="851" w:right="497"/>
        <w:jc w:val="both"/>
        <w:rPr>
          <w:rFonts w:eastAsia="Times New Roman" w:cs="Arial"/>
          <w:sz w:val="21"/>
          <w:szCs w:val="21"/>
          <w:lang w:eastAsia="en-US" w:bidi="ar-SA"/>
        </w:rPr>
      </w:pPr>
      <w:r w:rsidRPr="00ED781B">
        <w:rPr>
          <w:rFonts w:eastAsia="Times New Roman" w:cs="Arial"/>
          <w:sz w:val="21"/>
          <w:szCs w:val="21"/>
          <w:lang w:eastAsia="en-US" w:bidi="ar-SA"/>
        </w:rPr>
        <w:t>•</w:t>
      </w:r>
      <w:r w:rsidRPr="00ED781B">
        <w:rPr>
          <w:rFonts w:eastAsia="Times New Roman" w:cs="Arial"/>
          <w:sz w:val="21"/>
          <w:szCs w:val="21"/>
          <w:lang w:eastAsia="en-US" w:bidi="ar-SA"/>
        </w:rPr>
        <w:tab/>
        <w:t>aggiornamento: il dato, l’informazione, la notizia, la criticità etc. devono essere il più possibile attuali rispetto al periodo di osservazione e di trasmissione</w:t>
      </w:r>
    </w:p>
    <w:p w14:paraId="4246D3AB" w14:textId="77777777" w:rsidR="00651949" w:rsidRDefault="009129B7" w:rsidP="00651949">
      <w:pPr>
        <w:widowControl/>
        <w:autoSpaceDE/>
        <w:autoSpaceDN/>
        <w:spacing w:line="360" w:lineRule="auto"/>
        <w:ind w:left="851" w:right="497"/>
        <w:jc w:val="both"/>
        <w:rPr>
          <w:rFonts w:eastAsia="Times New Roman" w:cs="Arial"/>
          <w:sz w:val="21"/>
          <w:szCs w:val="21"/>
          <w:lang w:eastAsia="en-US" w:bidi="ar-SA"/>
        </w:rPr>
      </w:pPr>
      <w:r w:rsidRPr="00ED781B">
        <w:rPr>
          <w:rFonts w:eastAsia="Times New Roman" w:cs="Arial"/>
          <w:sz w:val="21"/>
          <w:szCs w:val="21"/>
          <w:lang w:eastAsia="en-US" w:bidi="ar-SA"/>
        </w:rPr>
        <w:t>I flussi informativi hanno, infine, carattere bidirezionale: principalmente verso RPCT, ma altresì da quest’ultimo verso le varie funzioni aziendali (richieste di chiarimenti, segnalazione all’organo gestorio dei casi di ritardato o mancato adempimento, etc.).</w:t>
      </w:r>
    </w:p>
    <w:p w14:paraId="6EC66C10" w14:textId="77777777" w:rsidR="00651949" w:rsidRDefault="00651949" w:rsidP="00651949">
      <w:pPr>
        <w:widowControl/>
        <w:autoSpaceDE/>
        <w:autoSpaceDN/>
        <w:spacing w:line="360" w:lineRule="auto"/>
        <w:ind w:left="851" w:right="497"/>
        <w:jc w:val="both"/>
        <w:rPr>
          <w:rFonts w:eastAsia="Times New Roman" w:cs="Arial"/>
          <w:sz w:val="21"/>
          <w:szCs w:val="21"/>
          <w:lang w:eastAsia="en-US" w:bidi="ar-SA"/>
        </w:rPr>
      </w:pPr>
    </w:p>
    <w:p w14:paraId="6CDC7A4A" w14:textId="323322AF" w:rsidR="009129B7" w:rsidRPr="009129B7" w:rsidRDefault="009129B7" w:rsidP="00651949">
      <w:pPr>
        <w:widowControl/>
        <w:autoSpaceDE/>
        <w:autoSpaceDN/>
        <w:spacing w:line="360" w:lineRule="auto"/>
        <w:ind w:left="851" w:right="497"/>
        <w:jc w:val="both"/>
        <w:rPr>
          <w:rFonts w:ascii="Calibri" w:eastAsia="Times New Roman" w:hAnsi="Calibri" w:cs="Times New Roman"/>
          <w:lang w:eastAsia="en-US" w:bidi="ar-SA"/>
        </w:rPr>
      </w:pPr>
      <w:r>
        <w:rPr>
          <w:rFonts w:ascii="Calibri" w:eastAsia="Times New Roman" w:hAnsi="Calibri" w:cs="Times New Roman"/>
          <w:noProof/>
          <w:lang w:bidi="ar-SA"/>
        </w:rPr>
        <w:lastRenderedPageBreak/>
        <mc:AlternateContent>
          <mc:Choice Requires="wpc">
            <w:drawing>
              <wp:inline distT="0" distB="0" distL="0" distR="0" wp14:anchorId="6838FB58" wp14:editId="6D0F4B16">
                <wp:extent cx="6060440" cy="3637280"/>
                <wp:effectExtent l="0" t="0" r="0" b="0"/>
                <wp:docPr id="93" name="Area di disegno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 name="Text Box 4"/>
                        <wps:cNvSpPr txBox="1">
                          <a:spLocks noChangeArrowheads="1"/>
                        </wps:cNvSpPr>
                        <wps:spPr bwMode="auto">
                          <a:xfrm>
                            <a:off x="1371600" y="773430"/>
                            <a:ext cx="780416" cy="54229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EFEB3FC" w14:textId="77777777" w:rsidR="00BB7808" w:rsidRPr="00CD5C9B" w:rsidRDefault="00BB7808" w:rsidP="009129B7">
                              <w:pPr>
                                <w:rPr>
                                  <w:sz w:val="16"/>
                                  <w:szCs w:val="16"/>
                                </w:rPr>
                              </w:pPr>
                              <w:r>
                                <w:rPr>
                                  <w:sz w:val="16"/>
                                  <w:szCs w:val="16"/>
                                </w:rPr>
                                <w:t xml:space="preserve">Flusso informativo </w:t>
                              </w:r>
                              <w:r w:rsidRPr="00CD5C9B">
                                <w:rPr>
                                  <w:sz w:val="16"/>
                                  <w:szCs w:val="16"/>
                                </w:rPr>
                                <w:t>ad hoc</w:t>
                              </w:r>
                              <w:r>
                                <w:rPr>
                                  <w:sz w:val="16"/>
                                  <w:szCs w:val="16"/>
                                </w:rPr>
                                <w:t xml:space="preserve"> </w:t>
                              </w:r>
                            </w:p>
                          </w:txbxContent>
                        </wps:txbx>
                        <wps:bodyPr rot="0" vert="horz" wrap="square" lIns="91440" tIns="45720" rIns="91440" bIns="45720" anchor="t" anchorCtr="0" upright="1">
                          <a:noAutofit/>
                        </wps:bodyPr>
                      </wps:wsp>
                      <wps:wsp>
                        <wps:cNvPr id="51" name="Text Box 5"/>
                        <wps:cNvSpPr txBox="1">
                          <a:spLocks noChangeArrowheads="1"/>
                        </wps:cNvSpPr>
                        <wps:spPr bwMode="auto">
                          <a:xfrm>
                            <a:off x="1371902" y="200901"/>
                            <a:ext cx="780382" cy="515461"/>
                          </a:xfrm>
                          <a:prstGeom prst="rect">
                            <a:avLst/>
                          </a:prstGeom>
                          <a:solidFill>
                            <a:srgbClr val="FFFFFF"/>
                          </a:solidFill>
                          <a:ln w="9525">
                            <a:solidFill>
                              <a:srgbClr val="000000"/>
                            </a:solidFill>
                            <a:miter lim="800000"/>
                            <a:headEnd/>
                            <a:tailEnd/>
                          </a:ln>
                        </wps:spPr>
                        <wps:txbx>
                          <w:txbxContent>
                            <w:p w14:paraId="7C0E05B9" w14:textId="77777777" w:rsidR="00BB7808" w:rsidRPr="00CD5C9B" w:rsidRDefault="00BB7808" w:rsidP="009129B7">
                              <w:pPr>
                                <w:rPr>
                                  <w:sz w:val="16"/>
                                  <w:szCs w:val="16"/>
                                </w:rPr>
                              </w:pPr>
                              <w:r>
                                <w:rPr>
                                  <w:sz w:val="16"/>
                                  <w:szCs w:val="16"/>
                                </w:rPr>
                                <w:t>Flusso informativo</w:t>
                              </w:r>
                              <w:r w:rsidRPr="00CD5C9B">
                                <w:rPr>
                                  <w:sz w:val="16"/>
                                  <w:szCs w:val="16"/>
                                </w:rPr>
                                <w:t xml:space="preserve"> </w:t>
                              </w:r>
                              <w:r>
                                <w:rPr>
                                  <w:sz w:val="16"/>
                                  <w:szCs w:val="16"/>
                                </w:rPr>
                                <w:t>fisiologico</w:t>
                              </w:r>
                            </w:p>
                          </w:txbxContent>
                        </wps:txbx>
                        <wps:bodyPr rot="0" vert="horz" wrap="square" lIns="91440" tIns="45720" rIns="91440" bIns="45720" anchor="t" anchorCtr="0" upright="1">
                          <a:noAutofit/>
                        </wps:bodyPr>
                      </wps:wsp>
                      <wps:wsp>
                        <wps:cNvPr id="53" name="Text Box 7"/>
                        <wps:cNvSpPr txBox="1">
                          <a:spLocks noChangeArrowheads="1"/>
                        </wps:cNvSpPr>
                        <wps:spPr bwMode="auto">
                          <a:xfrm>
                            <a:off x="114300" y="582295"/>
                            <a:ext cx="1082040" cy="513714"/>
                          </a:xfrm>
                          <a:prstGeom prst="rect">
                            <a:avLst/>
                          </a:prstGeom>
                          <a:solidFill>
                            <a:srgbClr val="FFFFFF"/>
                          </a:solidFill>
                          <a:ln w="9525">
                            <a:solidFill>
                              <a:srgbClr val="000000"/>
                            </a:solidFill>
                            <a:miter lim="800000"/>
                            <a:headEnd/>
                            <a:tailEnd/>
                          </a:ln>
                        </wps:spPr>
                        <wps:txbx>
                          <w:txbxContent>
                            <w:p w14:paraId="7C6D59CA" w14:textId="77777777" w:rsidR="00BB7808" w:rsidRDefault="00BB7808" w:rsidP="009129B7">
                              <w:pPr>
                                <w:rPr>
                                  <w:sz w:val="16"/>
                                  <w:szCs w:val="16"/>
                                </w:rPr>
                              </w:pPr>
                              <w:r w:rsidRPr="00CD5C9B">
                                <w:rPr>
                                  <w:sz w:val="16"/>
                                  <w:szCs w:val="16"/>
                                </w:rPr>
                                <w:t>Vertice aziendale</w:t>
                              </w:r>
                            </w:p>
                            <w:p w14:paraId="0A1A999D" w14:textId="77777777" w:rsidR="00BB7808" w:rsidRDefault="00BB7808" w:rsidP="009129B7">
                              <w:pPr>
                                <w:rPr>
                                  <w:sz w:val="16"/>
                                  <w:szCs w:val="16"/>
                                </w:rPr>
                              </w:pPr>
                              <w:r>
                                <w:rPr>
                                  <w:sz w:val="16"/>
                                  <w:szCs w:val="16"/>
                                </w:rPr>
                                <w:t xml:space="preserve">(Commissario / </w:t>
                              </w:r>
                            </w:p>
                            <w:p w14:paraId="3983DFFF" w14:textId="77777777" w:rsidR="00BB7808" w:rsidRPr="00CD5C9B" w:rsidRDefault="00BB7808" w:rsidP="009129B7">
                              <w:pPr>
                                <w:rPr>
                                  <w:sz w:val="16"/>
                                  <w:szCs w:val="16"/>
                                </w:rPr>
                              </w:pPr>
                              <w:r>
                                <w:rPr>
                                  <w:sz w:val="16"/>
                                  <w:szCs w:val="16"/>
                                </w:rPr>
                                <w:t>A.U.)</w:t>
                              </w:r>
                            </w:p>
                          </w:txbxContent>
                        </wps:txbx>
                        <wps:bodyPr rot="0" vert="horz" wrap="square" lIns="91440" tIns="45720" rIns="91440" bIns="45720" anchor="t" anchorCtr="0" upright="1">
                          <a:noAutofit/>
                        </wps:bodyPr>
                      </wps:wsp>
                      <wps:wsp>
                        <wps:cNvPr id="54" name="Text Box 9"/>
                        <wps:cNvSpPr txBox="1">
                          <a:spLocks noChangeArrowheads="1"/>
                        </wps:cNvSpPr>
                        <wps:spPr bwMode="auto">
                          <a:xfrm>
                            <a:off x="574040" y="2059940"/>
                            <a:ext cx="914400" cy="553720"/>
                          </a:xfrm>
                          <a:prstGeom prst="rect">
                            <a:avLst/>
                          </a:prstGeom>
                          <a:solidFill>
                            <a:srgbClr val="FFFFFF"/>
                          </a:solidFill>
                          <a:ln w="9525">
                            <a:solidFill>
                              <a:srgbClr val="000000"/>
                            </a:solidFill>
                            <a:miter lim="800000"/>
                            <a:headEnd/>
                            <a:tailEnd/>
                          </a:ln>
                        </wps:spPr>
                        <wps:txbx>
                          <w:txbxContent>
                            <w:p w14:paraId="74C631AC" w14:textId="77777777" w:rsidR="00BB7808" w:rsidRDefault="00BB7808" w:rsidP="009129B7">
                              <w:pPr>
                                <w:rPr>
                                  <w:sz w:val="16"/>
                                  <w:szCs w:val="16"/>
                                </w:rPr>
                              </w:pPr>
                              <w:r w:rsidRPr="00CD5C9B">
                                <w:rPr>
                                  <w:sz w:val="16"/>
                                  <w:szCs w:val="16"/>
                                </w:rPr>
                                <w:t>Resp. Funz</w:t>
                              </w:r>
                              <w:r>
                                <w:rPr>
                                  <w:sz w:val="16"/>
                                  <w:szCs w:val="16"/>
                                </w:rPr>
                                <w:t>ione</w:t>
                              </w:r>
                              <w:r w:rsidRPr="00CD5C9B">
                                <w:rPr>
                                  <w:sz w:val="16"/>
                                  <w:szCs w:val="16"/>
                                </w:rPr>
                                <w:t xml:space="preserve"> </w:t>
                              </w:r>
                            </w:p>
                          </w:txbxContent>
                        </wps:txbx>
                        <wps:bodyPr rot="0" vert="horz" wrap="square" lIns="91440" tIns="45720" rIns="91440" bIns="45720" anchor="t" anchorCtr="0" upright="1">
                          <a:noAutofit/>
                        </wps:bodyPr>
                      </wps:wsp>
                      <wps:wsp>
                        <wps:cNvPr id="55" name="Text Box 10"/>
                        <wps:cNvSpPr txBox="1">
                          <a:spLocks noChangeArrowheads="1"/>
                        </wps:cNvSpPr>
                        <wps:spPr bwMode="auto">
                          <a:xfrm>
                            <a:off x="574040" y="2903855"/>
                            <a:ext cx="913765" cy="573404"/>
                          </a:xfrm>
                          <a:prstGeom prst="rect">
                            <a:avLst/>
                          </a:prstGeom>
                          <a:solidFill>
                            <a:srgbClr val="FFFFFF"/>
                          </a:solidFill>
                          <a:ln w="9525">
                            <a:solidFill>
                              <a:srgbClr val="000000"/>
                            </a:solidFill>
                            <a:miter lim="800000"/>
                            <a:headEnd/>
                            <a:tailEnd/>
                          </a:ln>
                        </wps:spPr>
                        <wps:txbx>
                          <w:txbxContent>
                            <w:p w14:paraId="498782D3" w14:textId="77777777" w:rsidR="00BB7808" w:rsidRPr="00CD5C9B" w:rsidRDefault="00BB7808" w:rsidP="009129B7">
                              <w:pPr>
                                <w:rPr>
                                  <w:sz w:val="16"/>
                                  <w:szCs w:val="16"/>
                                </w:rPr>
                              </w:pPr>
                              <w:r w:rsidRPr="00CD5C9B">
                                <w:rPr>
                                  <w:sz w:val="16"/>
                                  <w:szCs w:val="16"/>
                                </w:rPr>
                                <w:t xml:space="preserve">Altri soggetti (interni o esterni) </w:t>
                              </w:r>
                            </w:p>
                          </w:txbxContent>
                        </wps:txbx>
                        <wps:bodyPr rot="0" vert="horz" wrap="square" lIns="91440" tIns="45720" rIns="91440" bIns="45720" anchor="t" anchorCtr="0" upright="1">
                          <a:noAutofit/>
                        </wps:bodyPr>
                      </wps:wsp>
                      <wps:wsp>
                        <wps:cNvPr id="56" name="Text Box 11"/>
                        <wps:cNvSpPr txBox="1">
                          <a:spLocks noChangeArrowheads="1"/>
                        </wps:cNvSpPr>
                        <wps:spPr bwMode="auto">
                          <a:xfrm>
                            <a:off x="4806315" y="370840"/>
                            <a:ext cx="1029336" cy="1333499"/>
                          </a:xfrm>
                          <a:prstGeom prst="rect">
                            <a:avLst/>
                          </a:prstGeom>
                          <a:solidFill>
                            <a:srgbClr val="FFFFFF"/>
                          </a:solidFill>
                          <a:ln w="9525">
                            <a:solidFill>
                              <a:srgbClr val="000000"/>
                            </a:solidFill>
                            <a:miter lim="800000"/>
                            <a:headEnd/>
                            <a:tailEnd/>
                          </a:ln>
                        </wps:spPr>
                        <wps:txbx>
                          <w:txbxContent>
                            <w:p w14:paraId="5B33BDE3" w14:textId="77777777" w:rsidR="00BB7808" w:rsidRDefault="00BB7808" w:rsidP="009129B7"/>
                            <w:p w14:paraId="6B08A546" w14:textId="77777777" w:rsidR="00BB7808" w:rsidRPr="00CD5C9B" w:rsidRDefault="00BB7808" w:rsidP="009129B7">
                              <w:pPr>
                                <w:ind w:left="284"/>
                                <w:rPr>
                                  <w:sz w:val="16"/>
                                  <w:szCs w:val="16"/>
                                </w:rPr>
                              </w:pPr>
                              <w:r>
                                <w:rPr>
                                  <w:sz w:val="16"/>
                                  <w:szCs w:val="16"/>
                                </w:rPr>
                                <w:t>RPC</w:t>
                              </w:r>
                              <w:r w:rsidRPr="00CD5C9B">
                                <w:rPr>
                                  <w:sz w:val="16"/>
                                  <w:szCs w:val="16"/>
                                </w:rPr>
                                <w:t>T</w:t>
                              </w:r>
                            </w:p>
                          </w:txbxContent>
                        </wps:txbx>
                        <wps:bodyPr rot="0" vert="horz" wrap="square" lIns="91440" tIns="45720" rIns="91440" bIns="45720" anchor="t" anchorCtr="0" upright="1">
                          <a:noAutofit/>
                        </wps:bodyPr>
                      </wps:wsp>
                      <wps:wsp>
                        <wps:cNvPr id="58" name="Line 15"/>
                        <wps:cNvCnPr>
                          <a:cxnSpLocks noChangeShapeType="1"/>
                        </wps:cNvCnPr>
                        <wps:spPr bwMode="auto">
                          <a:xfrm>
                            <a:off x="1196340" y="895985"/>
                            <a:ext cx="175259"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6"/>
                        <wps:cNvCnPr>
                          <a:cxnSpLocks noChangeShapeType="1"/>
                        </wps:cNvCnPr>
                        <wps:spPr bwMode="auto">
                          <a:xfrm>
                            <a:off x="2461260" y="775500"/>
                            <a:ext cx="234505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7"/>
                        <wps:cNvCnPr>
                          <a:cxnSpLocks noChangeShapeType="1"/>
                        </wps:cNvCnPr>
                        <wps:spPr bwMode="auto">
                          <a:xfrm>
                            <a:off x="1494155" y="2554605"/>
                            <a:ext cx="2222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8"/>
                        <wps:cNvCnPr>
                          <a:cxnSpLocks noChangeShapeType="1"/>
                        </wps:cNvCnPr>
                        <wps:spPr bwMode="auto">
                          <a:xfrm>
                            <a:off x="1196340" y="668655"/>
                            <a:ext cx="17525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9"/>
                        <wps:cNvCnPr>
                          <a:cxnSpLocks noChangeShapeType="1"/>
                        </wps:cNvCnPr>
                        <wps:spPr bwMode="auto">
                          <a:xfrm>
                            <a:off x="2152118" y="582398"/>
                            <a:ext cx="3043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2"/>
                        <wps:cNvCnPr>
                          <a:cxnSpLocks noChangeShapeType="1"/>
                        </wps:cNvCnPr>
                        <wps:spPr bwMode="auto">
                          <a:xfrm flipV="1">
                            <a:off x="1494155" y="3286125"/>
                            <a:ext cx="1859281"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23"/>
                        <wps:cNvSpPr txBox="1">
                          <a:spLocks noChangeArrowheads="1"/>
                        </wps:cNvSpPr>
                        <wps:spPr bwMode="auto">
                          <a:xfrm>
                            <a:off x="3053715" y="1782445"/>
                            <a:ext cx="890270" cy="457200"/>
                          </a:xfrm>
                          <a:prstGeom prst="rect">
                            <a:avLst/>
                          </a:prstGeom>
                          <a:solidFill>
                            <a:srgbClr val="FFFFFF"/>
                          </a:solidFill>
                          <a:ln w="9525">
                            <a:solidFill>
                              <a:srgbClr val="000000"/>
                            </a:solidFill>
                            <a:miter lim="800000"/>
                            <a:headEnd/>
                            <a:tailEnd/>
                          </a:ln>
                        </wps:spPr>
                        <wps:txbx>
                          <w:txbxContent>
                            <w:p w14:paraId="72A2D387" w14:textId="77777777" w:rsidR="00BB7808" w:rsidRPr="00CD5C9B" w:rsidRDefault="00BB7808" w:rsidP="009129B7">
                              <w:pPr>
                                <w:rPr>
                                  <w:sz w:val="16"/>
                                  <w:szCs w:val="16"/>
                                </w:rPr>
                              </w:pPr>
                              <w:r>
                                <w:rPr>
                                  <w:sz w:val="16"/>
                                  <w:szCs w:val="16"/>
                                </w:rPr>
                                <w:t xml:space="preserve">Solo segnalazioni </w:t>
                              </w:r>
                            </w:p>
                          </w:txbxContent>
                        </wps:txbx>
                        <wps:bodyPr rot="0" vert="horz" wrap="square" lIns="91440" tIns="45720" rIns="91440" bIns="45720" anchor="t" anchorCtr="0" upright="1">
                          <a:noAutofit/>
                        </wps:bodyPr>
                      </wps:wsp>
                      <wps:wsp>
                        <wps:cNvPr id="65" name="Line 24"/>
                        <wps:cNvCnPr>
                          <a:cxnSpLocks noChangeShapeType="1"/>
                        </wps:cNvCnPr>
                        <wps:spPr bwMode="auto">
                          <a:xfrm flipV="1">
                            <a:off x="2879090" y="1630045"/>
                            <a:ext cx="5716" cy="983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5"/>
                        <wps:cNvCnPr>
                          <a:cxnSpLocks noChangeShapeType="1"/>
                        </wps:cNvCnPr>
                        <wps:spPr bwMode="auto">
                          <a:xfrm flipV="1">
                            <a:off x="3353435" y="2239645"/>
                            <a:ext cx="1" cy="10464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7"/>
                        <wps:cNvCnPr>
                          <a:cxnSpLocks noChangeShapeType="1"/>
                          <a:stCxn id="64" idx="3"/>
                        </wps:cNvCnPr>
                        <wps:spPr bwMode="auto">
                          <a:xfrm flipV="1">
                            <a:off x="3943985" y="2011045"/>
                            <a:ext cx="11995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8"/>
                        <wps:cNvCnPr>
                          <a:cxnSpLocks noChangeShapeType="1"/>
                        </wps:cNvCnPr>
                        <wps:spPr bwMode="auto">
                          <a:xfrm flipV="1">
                            <a:off x="5142230" y="1728470"/>
                            <a:ext cx="1" cy="282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1"/>
                        <wps:cNvCnPr>
                          <a:cxnSpLocks noChangeShapeType="1"/>
                        </wps:cNvCnPr>
                        <wps:spPr bwMode="auto">
                          <a:xfrm flipV="1">
                            <a:off x="2884805" y="1630045"/>
                            <a:ext cx="192150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18"/>
                        <wps:cNvCnPr>
                          <a:cxnSpLocks noChangeShapeType="1"/>
                        </wps:cNvCnPr>
                        <wps:spPr bwMode="auto">
                          <a:xfrm>
                            <a:off x="2151827" y="984284"/>
                            <a:ext cx="304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4"/>
                        <wps:cNvCnPr>
                          <a:cxnSpLocks noChangeShapeType="1"/>
                        </wps:cNvCnPr>
                        <wps:spPr bwMode="auto">
                          <a:xfrm flipH="1" flipV="1">
                            <a:off x="2456278" y="582236"/>
                            <a:ext cx="4688" cy="40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5"/>
                        <wps:cNvSpPr txBox="1">
                          <a:spLocks noChangeArrowheads="1"/>
                        </wps:cNvSpPr>
                        <wps:spPr bwMode="auto">
                          <a:xfrm>
                            <a:off x="1716405" y="1910080"/>
                            <a:ext cx="779146" cy="514350"/>
                          </a:xfrm>
                          <a:prstGeom prst="rect">
                            <a:avLst/>
                          </a:prstGeom>
                          <a:solidFill>
                            <a:srgbClr val="FFFFFF"/>
                          </a:solidFill>
                          <a:ln w="9525">
                            <a:solidFill>
                              <a:srgbClr val="000000"/>
                            </a:solidFill>
                            <a:miter lim="800000"/>
                            <a:headEnd/>
                            <a:tailEnd/>
                          </a:ln>
                        </wps:spPr>
                        <wps:txbx>
                          <w:txbxContent>
                            <w:p w14:paraId="09587EE9" w14:textId="77777777" w:rsidR="00BB7808" w:rsidRDefault="00BB7808" w:rsidP="009129B7">
                              <w:pPr>
                                <w:pStyle w:val="NormaleWeb"/>
                                <w:spacing w:before="0" w:beforeAutospacing="0" w:after="0" w:afterAutospacing="0"/>
                              </w:pPr>
                              <w:r>
                                <w:rPr>
                                  <w:sz w:val="16"/>
                                  <w:szCs w:val="16"/>
                                </w:rPr>
                                <w:t>Flusso informativo fisiologico</w:t>
                              </w:r>
                            </w:p>
                          </w:txbxContent>
                        </wps:txbx>
                        <wps:bodyPr rot="0" vert="horz" wrap="square" lIns="91440" tIns="45720" rIns="91440" bIns="45720" anchor="t" anchorCtr="0" upright="1">
                          <a:noAutofit/>
                        </wps:bodyPr>
                      </wps:wsp>
                      <wps:wsp>
                        <wps:cNvPr id="73" name="Text Box 4"/>
                        <wps:cNvSpPr txBox="1">
                          <a:spLocks noChangeArrowheads="1"/>
                        </wps:cNvSpPr>
                        <wps:spPr bwMode="auto">
                          <a:xfrm>
                            <a:off x="1715770" y="2516505"/>
                            <a:ext cx="779781" cy="45275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B5B3F09" w14:textId="77777777" w:rsidR="00BB7808" w:rsidRDefault="00BB7808" w:rsidP="009129B7">
                              <w:pPr>
                                <w:pStyle w:val="NormaleWeb"/>
                                <w:spacing w:before="0" w:beforeAutospacing="0" w:after="0" w:afterAutospacing="0"/>
                              </w:pPr>
                              <w:r>
                                <w:rPr>
                                  <w:sz w:val="16"/>
                                  <w:szCs w:val="16"/>
                                </w:rPr>
                                <w:t xml:space="preserve">Flusso informativo ad hoc </w:t>
                              </w:r>
                            </w:p>
                          </w:txbxContent>
                        </wps:txbx>
                        <wps:bodyPr rot="0" vert="horz" wrap="square" lIns="91440" tIns="45720" rIns="91440" bIns="45720" anchor="t" anchorCtr="0" upright="1">
                          <a:noAutofit/>
                        </wps:bodyPr>
                      </wps:wsp>
                      <wps:wsp>
                        <wps:cNvPr id="74" name="Line 17"/>
                        <wps:cNvCnPr>
                          <a:cxnSpLocks noChangeShapeType="1"/>
                        </wps:cNvCnPr>
                        <wps:spPr bwMode="auto">
                          <a:xfrm>
                            <a:off x="1488440" y="2108201"/>
                            <a:ext cx="2279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9"/>
                        <wps:cNvCnPr>
                          <a:cxnSpLocks noChangeShapeType="1"/>
                        </wps:cNvCnPr>
                        <wps:spPr bwMode="auto">
                          <a:xfrm>
                            <a:off x="2495550" y="2613660"/>
                            <a:ext cx="383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8"/>
                        <wps:cNvCnPr>
                          <a:cxnSpLocks noChangeShapeType="1"/>
                        </wps:cNvCnPr>
                        <wps:spPr bwMode="auto">
                          <a:xfrm>
                            <a:off x="2495550" y="2108200"/>
                            <a:ext cx="3835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2"/>
                        <wps:cNvCnPr>
                          <a:cxnSpLocks noChangeShapeType="1"/>
                        </wps:cNvCnPr>
                        <wps:spPr bwMode="auto">
                          <a:xfrm>
                            <a:off x="757555" y="1096010"/>
                            <a:ext cx="1" cy="963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85"/>
                        <wps:cNvCnPr/>
                        <wps:spPr bwMode="auto">
                          <a:xfrm flipH="1">
                            <a:off x="1487805" y="3128645"/>
                            <a:ext cx="3555366" cy="1"/>
                          </a:xfrm>
                          <a:prstGeom prst="line">
                            <a:avLst/>
                          </a:prstGeom>
                          <a:noFill/>
                          <a:ln w="9525">
                            <a:solidFill>
                              <a:srgbClr val="0000FF"/>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80" name="Line 86"/>
                        <wps:cNvCnPr/>
                        <wps:spPr bwMode="auto">
                          <a:xfrm>
                            <a:off x="5043170" y="1704340"/>
                            <a:ext cx="1" cy="1379221"/>
                          </a:xfrm>
                          <a:prstGeom prst="line">
                            <a:avLst/>
                          </a:prstGeom>
                          <a:noFill/>
                          <a:ln w="9525">
                            <a:solidFill>
                              <a:srgbClr val="0000FF"/>
                            </a:solidFill>
                            <a:prstDash val="dashDot"/>
                            <a:round/>
                            <a:headEnd/>
                            <a:tailEnd/>
                          </a:ln>
                          <a:extLst>
                            <a:ext uri="{909E8E84-426E-40DD-AFC4-6F175D3DCCD1}">
                              <a14:hiddenFill xmlns:a14="http://schemas.microsoft.com/office/drawing/2010/main">
                                <a:noFill/>
                              </a14:hiddenFill>
                            </a:ext>
                          </a:extLst>
                        </wps:spPr>
                        <wps:bodyPr/>
                      </wps:wsp>
                      <wps:wsp>
                        <wps:cNvPr id="81" name="Line 87"/>
                        <wps:cNvCnPr/>
                        <wps:spPr bwMode="auto">
                          <a:xfrm flipH="1">
                            <a:off x="1494155" y="2482214"/>
                            <a:ext cx="3375026" cy="1"/>
                          </a:xfrm>
                          <a:prstGeom prst="line">
                            <a:avLst/>
                          </a:prstGeom>
                          <a:noFill/>
                          <a:ln w="9525">
                            <a:solidFill>
                              <a:srgbClr val="0000FF"/>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82" name="Line 88"/>
                        <wps:cNvCnPr/>
                        <wps:spPr bwMode="auto">
                          <a:xfrm>
                            <a:off x="4869180" y="1728470"/>
                            <a:ext cx="1" cy="777875"/>
                          </a:xfrm>
                          <a:prstGeom prst="line">
                            <a:avLst/>
                          </a:prstGeom>
                          <a:noFill/>
                          <a:ln w="9525">
                            <a:solidFill>
                              <a:srgbClr val="0000FF"/>
                            </a:solidFill>
                            <a:prstDash val="dashDot"/>
                            <a:round/>
                            <a:headEnd/>
                            <a:tailEnd/>
                          </a:ln>
                          <a:extLst>
                            <a:ext uri="{909E8E84-426E-40DD-AFC4-6F175D3DCCD1}">
                              <a14:hiddenFill xmlns:a14="http://schemas.microsoft.com/office/drawing/2010/main">
                                <a:noFill/>
                              </a14:hiddenFill>
                            </a:ext>
                          </a:extLst>
                        </wps:spPr>
                        <wps:bodyPr/>
                      </wps:wsp>
                      <wps:wsp>
                        <wps:cNvPr id="84" name="Line 90"/>
                        <wps:cNvCnPr/>
                        <wps:spPr bwMode="auto">
                          <a:xfrm flipH="1">
                            <a:off x="877570" y="165735"/>
                            <a:ext cx="1" cy="377190"/>
                          </a:xfrm>
                          <a:prstGeom prst="line">
                            <a:avLst/>
                          </a:prstGeom>
                          <a:noFill/>
                          <a:ln w="9525">
                            <a:solidFill>
                              <a:srgbClr val="0000FF"/>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85" name="Line 91"/>
                        <wps:cNvCnPr/>
                        <wps:spPr bwMode="auto">
                          <a:xfrm flipV="1">
                            <a:off x="877570" y="107315"/>
                            <a:ext cx="3991610" cy="1"/>
                          </a:xfrm>
                          <a:prstGeom prst="line">
                            <a:avLst/>
                          </a:prstGeom>
                          <a:noFill/>
                          <a:ln w="9525">
                            <a:solidFill>
                              <a:srgbClr val="0000FF"/>
                            </a:solidFill>
                            <a:prstDash val="dashDot"/>
                            <a:round/>
                            <a:headEnd/>
                            <a:tailEnd/>
                          </a:ln>
                          <a:extLst>
                            <a:ext uri="{909E8E84-426E-40DD-AFC4-6F175D3DCCD1}">
                              <a14:hiddenFill xmlns:a14="http://schemas.microsoft.com/office/drawing/2010/main">
                                <a:noFill/>
                              </a14:hiddenFill>
                            </a:ext>
                          </a:extLst>
                        </wps:spPr>
                        <wps:bodyPr/>
                      </wps:wsp>
                      <wps:wsp>
                        <wps:cNvPr id="86" name="Line 92"/>
                        <wps:cNvCnPr/>
                        <wps:spPr bwMode="auto">
                          <a:xfrm>
                            <a:off x="4920615" y="107315"/>
                            <a:ext cx="1" cy="263525"/>
                          </a:xfrm>
                          <a:prstGeom prst="line">
                            <a:avLst/>
                          </a:prstGeom>
                          <a:noFill/>
                          <a:ln w="9525">
                            <a:solidFill>
                              <a:srgbClr val="0000FF"/>
                            </a:solidFill>
                            <a:prstDash val="dashDot"/>
                            <a:round/>
                            <a:headEnd/>
                            <a:tailEnd/>
                          </a:ln>
                          <a:extLst>
                            <a:ext uri="{909E8E84-426E-40DD-AFC4-6F175D3DCCD1}">
                              <a14:hiddenFill xmlns:a14="http://schemas.microsoft.com/office/drawing/2010/main">
                                <a:noFill/>
                              </a14:hiddenFill>
                            </a:ext>
                          </a:extLst>
                        </wps:spPr>
                        <wps:bodyPr/>
                      </wps:wsp>
                      <wps:wsp>
                        <wps:cNvPr id="87" name="Text Box 4"/>
                        <wps:cNvSpPr txBox="1">
                          <a:spLocks noChangeArrowheads="1"/>
                        </wps:cNvSpPr>
                        <wps:spPr bwMode="auto">
                          <a:xfrm>
                            <a:off x="904240" y="1572895"/>
                            <a:ext cx="678180" cy="3841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48E3ADD" w14:textId="77777777" w:rsidR="00BB7808" w:rsidRPr="00CD5C9B" w:rsidRDefault="00BB7808" w:rsidP="009129B7">
                              <w:pPr>
                                <w:rPr>
                                  <w:sz w:val="16"/>
                                  <w:szCs w:val="16"/>
                                </w:rPr>
                              </w:pPr>
                              <w:r>
                                <w:rPr>
                                  <w:sz w:val="16"/>
                                  <w:szCs w:val="16"/>
                                </w:rPr>
                                <w:t>Flusso ciclico</w:t>
                              </w:r>
                            </w:p>
                          </w:txbxContent>
                        </wps:txbx>
                        <wps:bodyPr rot="0" vert="horz" wrap="square" lIns="91440" tIns="45720" rIns="91440" bIns="45720" anchor="t" anchorCtr="0" upright="1">
                          <a:noAutofit/>
                        </wps:bodyPr>
                      </wps:wsp>
                      <wps:wsp>
                        <wps:cNvPr id="88" name="Line 12"/>
                        <wps:cNvCnPr>
                          <a:cxnSpLocks noChangeShapeType="1"/>
                        </wps:cNvCnPr>
                        <wps:spPr bwMode="auto">
                          <a:xfrm flipV="1">
                            <a:off x="1079500" y="1096010"/>
                            <a:ext cx="1" cy="476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8"/>
                        <wps:cNvCnPr>
                          <a:cxnSpLocks noChangeShapeType="1"/>
                        </wps:cNvCnPr>
                        <wps:spPr bwMode="auto">
                          <a:xfrm flipV="1">
                            <a:off x="1079500" y="1957070"/>
                            <a:ext cx="1"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2"/>
                        <wps:cNvCnPr>
                          <a:cxnSpLocks noChangeShapeType="1"/>
                        </wps:cNvCnPr>
                        <wps:spPr bwMode="auto">
                          <a:xfrm flipV="1">
                            <a:off x="2689224" y="1483996"/>
                            <a:ext cx="2117090" cy="247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24"/>
                        <wps:cNvCnPr>
                          <a:cxnSpLocks noChangeShapeType="1"/>
                        </wps:cNvCnPr>
                        <wps:spPr bwMode="auto">
                          <a:xfrm flipV="1">
                            <a:off x="1582420" y="1508760"/>
                            <a:ext cx="1106805" cy="314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838FB58" id="Area di disegno 93" o:spid="_x0000_s1026" editas="canvas" style="width:477.2pt;height:286.4pt;mso-position-horizontal-relative:char;mso-position-vertical-relative:line" coordsize="60604,3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604;height:36372;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3716;top:7734;width:7804;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" filled="f">
                  <v:stroke joinstyle="round"/>
                  <v:textbox>
                    <w:txbxContent>
                      <w:p w14:paraId="2EFEB3FC" w14:textId="77777777" w:rsidR="00BB7808" w:rsidRPr="00CD5C9B" w:rsidRDefault="00BB7808" w:rsidP="009129B7">
                        <w:pPr>
                          <w:rPr>
                            <w:sz w:val="16"/>
                            <w:szCs w:val="16"/>
                          </w:rPr>
                        </w:pPr>
                        <w:r>
                          <w:rPr>
                            <w:sz w:val="16"/>
                            <w:szCs w:val="16"/>
                          </w:rPr>
                          <w:t xml:space="preserve">Flusso informativo </w:t>
                        </w:r>
                        <w:r w:rsidRPr="00CD5C9B">
                          <w:rPr>
                            <w:sz w:val="16"/>
                            <w:szCs w:val="16"/>
                          </w:rPr>
                          <w:t>ad hoc</w:t>
                        </w:r>
                        <w:r>
                          <w:rPr>
                            <w:sz w:val="16"/>
                            <w:szCs w:val="16"/>
                          </w:rPr>
                          <w:t xml:space="preserve"> </w:t>
                        </w:r>
                      </w:p>
                    </w:txbxContent>
                  </v:textbox>
                </v:shape>
                <v:shape id="Text Box 5" o:spid="_x0000_s1029" type="#_x0000_t202" style="position:absolute;left:13719;top:2009;width:7803;height: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7C0E05B9" w14:textId="77777777" w:rsidR="00BB7808" w:rsidRPr="00CD5C9B" w:rsidRDefault="00BB7808" w:rsidP="009129B7">
                        <w:pPr>
                          <w:rPr>
                            <w:sz w:val="16"/>
                            <w:szCs w:val="16"/>
                          </w:rPr>
                        </w:pPr>
                        <w:r>
                          <w:rPr>
                            <w:sz w:val="16"/>
                            <w:szCs w:val="16"/>
                          </w:rPr>
                          <w:t>Flusso informativo</w:t>
                        </w:r>
                        <w:r w:rsidRPr="00CD5C9B">
                          <w:rPr>
                            <w:sz w:val="16"/>
                            <w:szCs w:val="16"/>
                          </w:rPr>
                          <w:t xml:space="preserve"> </w:t>
                        </w:r>
                        <w:r>
                          <w:rPr>
                            <w:sz w:val="16"/>
                            <w:szCs w:val="16"/>
                          </w:rPr>
                          <w:t>fisiologico</w:t>
                        </w:r>
                      </w:p>
                    </w:txbxContent>
                  </v:textbox>
                </v:shape>
                <v:shape id="Text Box 7" o:spid="_x0000_s1030" type="#_x0000_t202" style="position:absolute;left:1143;top:5822;width:10820;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7C6D59CA" w14:textId="77777777" w:rsidR="00BB7808" w:rsidRDefault="00BB7808" w:rsidP="009129B7">
                        <w:pPr>
                          <w:rPr>
                            <w:sz w:val="16"/>
                            <w:szCs w:val="16"/>
                          </w:rPr>
                        </w:pPr>
                        <w:r w:rsidRPr="00CD5C9B">
                          <w:rPr>
                            <w:sz w:val="16"/>
                            <w:szCs w:val="16"/>
                          </w:rPr>
                          <w:t>Vertice aziendale</w:t>
                        </w:r>
                      </w:p>
                      <w:p w14:paraId="0A1A999D" w14:textId="77777777" w:rsidR="00BB7808" w:rsidRDefault="00BB7808" w:rsidP="009129B7">
                        <w:pPr>
                          <w:rPr>
                            <w:sz w:val="16"/>
                            <w:szCs w:val="16"/>
                          </w:rPr>
                        </w:pPr>
                        <w:r>
                          <w:rPr>
                            <w:sz w:val="16"/>
                            <w:szCs w:val="16"/>
                          </w:rPr>
                          <w:t xml:space="preserve">(Commissario / </w:t>
                        </w:r>
                      </w:p>
                      <w:p w14:paraId="3983DFFF" w14:textId="77777777" w:rsidR="00BB7808" w:rsidRPr="00CD5C9B" w:rsidRDefault="00BB7808" w:rsidP="009129B7">
                        <w:pPr>
                          <w:rPr>
                            <w:sz w:val="16"/>
                            <w:szCs w:val="16"/>
                          </w:rPr>
                        </w:pPr>
                        <w:r>
                          <w:rPr>
                            <w:sz w:val="16"/>
                            <w:szCs w:val="16"/>
                          </w:rPr>
                          <w:t>A.U.)</w:t>
                        </w:r>
                      </w:p>
                    </w:txbxContent>
                  </v:textbox>
                </v:shape>
                <v:shape id="Text Box 9" o:spid="_x0000_s1031" type="#_x0000_t202" style="position:absolute;left:5740;top:20599;width:9144;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74C631AC" w14:textId="77777777" w:rsidR="00BB7808" w:rsidRDefault="00BB7808" w:rsidP="009129B7">
                        <w:pPr>
                          <w:rPr>
                            <w:sz w:val="16"/>
                            <w:szCs w:val="16"/>
                          </w:rPr>
                        </w:pPr>
                        <w:r w:rsidRPr="00CD5C9B">
                          <w:rPr>
                            <w:sz w:val="16"/>
                            <w:szCs w:val="16"/>
                          </w:rPr>
                          <w:t>Resp. Funz</w:t>
                        </w:r>
                        <w:r>
                          <w:rPr>
                            <w:sz w:val="16"/>
                            <w:szCs w:val="16"/>
                          </w:rPr>
                          <w:t>ione</w:t>
                        </w:r>
                        <w:r w:rsidRPr="00CD5C9B">
                          <w:rPr>
                            <w:sz w:val="16"/>
                            <w:szCs w:val="16"/>
                          </w:rPr>
                          <w:t xml:space="preserve"> </w:t>
                        </w:r>
                      </w:p>
                    </w:txbxContent>
                  </v:textbox>
                </v:shape>
                <v:shape id="Text Box 10" o:spid="_x0000_s1032" type="#_x0000_t202" style="position:absolute;left:5740;top:29038;width:9138;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98782D3" w14:textId="77777777" w:rsidR="00BB7808" w:rsidRPr="00CD5C9B" w:rsidRDefault="00BB7808" w:rsidP="009129B7">
                        <w:pPr>
                          <w:rPr>
                            <w:sz w:val="16"/>
                            <w:szCs w:val="16"/>
                          </w:rPr>
                        </w:pPr>
                        <w:r w:rsidRPr="00CD5C9B">
                          <w:rPr>
                            <w:sz w:val="16"/>
                            <w:szCs w:val="16"/>
                          </w:rPr>
                          <w:t xml:space="preserve">Altri soggetti (interni o esterni) </w:t>
                        </w:r>
                      </w:p>
                    </w:txbxContent>
                  </v:textbox>
                </v:shape>
                <v:shape id="Text Box 11" o:spid="_x0000_s1033" type="#_x0000_t202" style="position:absolute;left:48063;top:3708;width:10293;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5B33BDE3" w14:textId="77777777" w:rsidR="00BB7808" w:rsidRDefault="00BB7808" w:rsidP="009129B7"/>
                      <w:p w14:paraId="6B08A546" w14:textId="77777777" w:rsidR="00BB7808" w:rsidRPr="00CD5C9B" w:rsidRDefault="00BB7808" w:rsidP="009129B7">
                        <w:pPr>
                          <w:ind w:left="284"/>
                          <w:rPr>
                            <w:sz w:val="16"/>
                            <w:szCs w:val="16"/>
                          </w:rPr>
                        </w:pPr>
                        <w:r>
                          <w:rPr>
                            <w:sz w:val="16"/>
                            <w:szCs w:val="16"/>
                          </w:rPr>
                          <w:t>RPC</w:t>
                        </w:r>
                        <w:r w:rsidRPr="00CD5C9B">
                          <w:rPr>
                            <w:sz w:val="16"/>
                            <w:szCs w:val="16"/>
                          </w:rPr>
                          <w:t>T</w:t>
                        </w:r>
                      </w:p>
                    </w:txbxContent>
                  </v:textbox>
                </v:shape>
                <v:line id="Line 15" o:spid="_x0000_s1034" style="position:absolute;visibility:visible;mso-wrap-style:square" from="11963,8959" to="13715,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6" o:spid="_x0000_s1035" style="position:absolute;visibility:visible;mso-wrap-style:square" from="24612,7755" to="4806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17" o:spid="_x0000_s1036" style="position:absolute;visibility:visible;mso-wrap-style:square" from="14941,25546" to="17164,2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18" o:spid="_x0000_s1037" style="position:absolute;visibility:visible;mso-wrap-style:square" from="11963,6686" to="13715,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9" o:spid="_x0000_s1038" style="position:absolute;visibility:visible;mso-wrap-style:square" from="21521,5823" to="24564,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22" o:spid="_x0000_s1039" style="position:absolute;flip:y;visibility:visible;mso-wrap-style:square" from="14941,32861" to="33534,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shape id="Text Box 23" o:spid="_x0000_s1040" type="#_x0000_t202" style="position:absolute;left:30537;top:17824;width:89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2A2D387" w14:textId="77777777" w:rsidR="00BB7808" w:rsidRPr="00CD5C9B" w:rsidRDefault="00BB7808" w:rsidP="009129B7">
                        <w:pPr>
                          <w:rPr>
                            <w:sz w:val="16"/>
                            <w:szCs w:val="16"/>
                          </w:rPr>
                        </w:pPr>
                        <w:r>
                          <w:rPr>
                            <w:sz w:val="16"/>
                            <w:szCs w:val="16"/>
                          </w:rPr>
                          <w:t xml:space="preserve">Solo segnalazioni </w:t>
                        </w:r>
                      </w:p>
                    </w:txbxContent>
                  </v:textbox>
                </v:shape>
                <v:line id="Line 24" o:spid="_x0000_s1041" style="position:absolute;flip:y;visibility:visible;mso-wrap-style:square" from="28790,16300" to="28848,2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5" o:spid="_x0000_s1042" style="position:absolute;flip:y;visibility:visible;mso-wrap-style:square" from="33534,22396" to="33534,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27" o:spid="_x0000_s1043" style="position:absolute;flip:y;visibility:visible;mso-wrap-style:square" from="39439,20110" to="51435,2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28" o:spid="_x0000_s1044" style="position:absolute;flip:y;visibility:visible;mso-wrap-style:square" from="51422,17284" to="51422,2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line id="Line 31" o:spid="_x0000_s1045" style="position:absolute;flip:y;visibility:visible;mso-wrap-style:square" from="28848,16300" to="48063,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18" o:spid="_x0000_s1046" style="position:absolute;visibility:visible;mso-wrap-style:square" from="21518,9842" to="24562,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4" o:spid="_x0000_s1047" style="position:absolute;flip:x y;visibility:visible;mso-wrap-style:square" from="24562,5822" to="24609,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"/>
                <v:shape id="Text Box 5" o:spid="_x0000_s1048" type="#_x0000_t202" style="position:absolute;left:17164;top:19100;width:779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09587EE9" w14:textId="77777777" w:rsidR="00BB7808" w:rsidRDefault="00BB7808" w:rsidP="009129B7">
                        <w:pPr>
                          <w:pStyle w:val="NormaleWeb"/>
                          <w:spacing w:before="0" w:beforeAutospacing="0" w:after="0" w:afterAutospacing="0"/>
                        </w:pPr>
                        <w:r>
                          <w:rPr>
                            <w:sz w:val="16"/>
                            <w:szCs w:val="16"/>
                          </w:rPr>
                          <w:t>Flusso informativo fisiologico</w:t>
                        </w:r>
                      </w:p>
                    </w:txbxContent>
                  </v:textbox>
                </v:shape>
                <v:shape id="Text Box 4" o:spid="_x0000_s1049" type="#_x0000_t202" style="position:absolute;left:17157;top:25165;width:7798;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" filled="f">
                  <v:stroke joinstyle="round"/>
                  <v:textbox>
                    <w:txbxContent>
                      <w:p w14:paraId="3B5B3F09" w14:textId="77777777" w:rsidR="00BB7808" w:rsidRDefault="00BB7808" w:rsidP="009129B7">
                        <w:pPr>
                          <w:pStyle w:val="NormaleWeb"/>
                          <w:spacing w:before="0" w:beforeAutospacing="0" w:after="0" w:afterAutospacing="0"/>
                        </w:pPr>
                        <w:r>
                          <w:rPr>
                            <w:sz w:val="16"/>
                            <w:szCs w:val="16"/>
                          </w:rPr>
                          <w:t xml:space="preserve">Flusso informativo ad hoc </w:t>
                        </w:r>
                      </w:p>
                    </w:txbxContent>
                  </v:textbox>
                </v:shape>
                <v:line id="Line 17" o:spid="_x0000_s1050" style="position:absolute;visibility:visible;mso-wrap-style:square" from="14884,21082" to="17164,2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19" o:spid="_x0000_s1051" style="position:absolute;visibility:visible;mso-wrap-style:square" from="24955,26136" to="28790,2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18" o:spid="_x0000_s1052" style="position:absolute;visibility:visible;mso-wrap-style:square" from="24955,21082" to="28790,2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12" o:spid="_x0000_s1053" style="position:absolute;visibility:visible;mso-wrap-style:square" from="7575,10960" to="757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line id="Line 85" o:spid="_x0000_s1054" style="position:absolute;flip:x;visibility:visible;mso-wrap-style:square" from="14878,31286" to="50431,3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" strokecolor="blue">
                  <v:stroke dashstyle="dashDot" endarrow="block"/>
                </v:line>
                <v:line id="Line 86" o:spid="_x0000_s1055" style="position:absolute;visibility:visible;mso-wrap-style:square" from="50431,17043" to="50431,3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" strokecolor="blue">
                  <v:stroke dashstyle="dashDot"/>
                </v:line>
                <v:line id="Line 87" o:spid="_x0000_s1056" style="position:absolute;flip:x;visibility:visible;mso-wrap-style:square" from="14941,24822" to="48691,2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" strokecolor="blue">
                  <v:stroke dashstyle="dashDot" endarrow="block"/>
                </v:line>
                <v:line id="Line 88" o:spid="_x0000_s1057" style="position:absolute;visibility:visible;mso-wrap-style:square" from="48691,17284" to="48691,2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" strokecolor="blue">
                  <v:stroke dashstyle="dashDot"/>
                </v:line>
                <v:line id="Line 90" o:spid="_x0000_s1058" style="position:absolute;flip:x;visibility:visible;mso-wrap-style:square" from="8775,1657" to="8775,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" strokecolor="blue">
                  <v:stroke dashstyle="dashDot" endarrow="block"/>
                </v:line>
                <v:line id="Line 91" o:spid="_x0000_s1059" style="position:absolute;flip:y;visibility:visible;mso-wrap-style:square" from="8775,1073" to="48691,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" strokecolor="blue">
                  <v:stroke dashstyle="dashDot"/>
                </v:line>
                <v:line id="Line 92" o:spid="_x0000_s1060" style="position:absolute;visibility:visible;mso-wrap-style:square" from="49206,1073" to="49206,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" strokecolor="blue">
                  <v:stroke dashstyle="dashDot"/>
                </v:line>
                <v:shape id="Text Box 4" o:spid="_x0000_s1061" type="#_x0000_t202" style="position:absolute;left:9042;top:15728;width:6782;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" filled="f">
                  <v:stroke joinstyle="round"/>
                  <v:textbox>
                    <w:txbxContent>
                      <w:p w14:paraId="048E3ADD" w14:textId="77777777" w:rsidR="00BB7808" w:rsidRPr="00CD5C9B" w:rsidRDefault="00BB7808" w:rsidP="009129B7">
                        <w:pPr>
                          <w:rPr>
                            <w:sz w:val="16"/>
                            <w:szCs w:val="16"/>
                          </w:rPr>
                        </w:pPr>
                        <w:r>
                          <w:rPr>
                            <w:sz w:val="16"/>
                            <w:szCs w:val="16"/>
                          </w:rPr>
                          <w:t>Flusso ciclico</w:t>
                        </w:r>
                      </w:p>
                    </w:txbxContent>
                  </v:textbox>
                </v:shape>
                <v:line id="Line 12" o:spid="_x0000_s1062" style="position:absolute;flip:y;visibility:visible;mso-wrap-style:square" from="10795,10960" to="10795,1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">
                  <v:stroke endarrow="block"/>
                </v:line>
                <v:line id="Line 18" o:spid="_x0000_s1063" style="position:absolute;flip:y;visibility:visible;mso-wrap-style:square" from="10795,19570" to="10795,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12" o:spid="_x0000_s1064" style="position:absolute;flip:y;visibility:visible;mso-wrap-style:square" from="26892,14839" to="48063,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line id="Line 24" o:spid="_x0000_s1065" style="position:absolute;flip:y;visibility:visible;mso-wrap-style:square" from="15824,15087" to="26892,1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w10:anchorlock/>
              </v:group>
            </w:pict>
          </mc:Fallback>
        </mc:AlternateContent>
      </w:r>
    </w:p>
    <w:p w14:paraId="418A4512" w14:textId="3D9B782F" w:rsidR="00651949" w:rsidRDefault="00651949" w:rsidP="002034D7">
      <w:pPr>
        <w:widowControl/>
        <w:autoSpaceDE/>
        <w:autoSpaceDN/>
        <w:spacing w:line="360" w:lineRule="auto"/>
        <w:ind w:left="851" w:right="638"/>
        <w:jc w:val="both"/>
        <w:rPr>
          <w:rFonts w:eastAsia="Times New Roman" w:cs="Arial"/>
          <w:sz w:val="21"/>
          <w:szCs w:val="21"/>
          <w:lang w:eastAsia="en-US" w:bidi="ar-SA"/>
        </w:rPr>
      </w:pPr>
      <w:r>
        <w:rPr>
          <w:rFonts w:eastAsia="Times New Roman" w:cs="Arial"/>
          <w:sz w:val="21"/>
          <w:szCs w:val="21"/>
          <w:lang w:eastAsia="en-US" w:bidi="ar-SA"/>
        </w:rPr>
        <w:t xml:space="preserve">Si richiamano, infine, le </w:t>
      </w:r>
      <w:r w:rsidRPr="00651949">
        <w:rPr>
          <w:rFonts w:eastAsia="Times New Roman" w:cs="Arial"/>
          <w:sz w:val="21"/>
          <w:szCs w:val="21"/>
          <w:lang w:eastAsia="en-US" w:bidi="ar-SA"/>
        </w:rPr>
        <w:t>nuove istruzioni di cui all’allegato 4 alla delibera ANAC n. 495 del 25 settembre 2024 (qualità del dato: raccomandazioni nei confronti dei soggetti tenuti all’applicazione del d.lgs. 33/2013 per l’inserimento dei dati nelle diverse sottosezioni di Amministrazione trasparente secondo le schede di pubblicazione predisposte da ANAC e per la successiva attività di controllo dei dati pubblicati);</w:t>
      </w:r>
      <w:r>
        <w:rPr>
          <w:rFonts w:eastAsia="Times New Roman" w:cs="Arial"/>
          <w:sz w:val="21"/>
          <w:szCs w:val="21"/>
          <w:lang w:eastAsia="en-US" w:bidi="ar-SA"/>
        </w:rPr>
        <w:t xml:space="preserve"> al riguardo RPCT predisporrà apposite schede di validazione per le attestazioni da parte delle funzioni competenti.</w:t>
      </w:r>
    </w:p>
    <w:p w14:paraId="6E0FD257" w14:textId="77777777" w:rsidR="002627F4" w:rsidRDefault="002627F4" w:rsidP="002034D7">
      <w:pPr>
        <w:widowControl/>
        <w:autoSpaceDE/>
        <w:autoSpaceDN/>
        <w:spacing w:line="360" w:lineRule="auto"/>
        <w:ind w:left="709"/>
        <w:jc w:val="both"/>
        <w:rPr>
          <w:rFonts w:ascii="Garamond" w:eastAsia="Times New Roman" w:hAnsi="Garamond" w:cs="Arial"/>
          <w:lang w:eastAsia="en-US" w:bidi="ar-SA"/>
        </w:rPr>
      </w:pPr>
    </w:p>
    <w:p w14:paraId="3D0F30F0" w14:textId="72EC591D" w:rsidR="00560494" w:rsidRPr="002627F4" w:rsidRDefault="002627F4" w:rsidP="002627F4">
      <w:pPr>
        <w:pStyle w:val="Titolo1"/>
        <w:rPr>
          <w:smallCaps/>
        </w:rPr>
      </w:pPr>
      <w:bookmarkStart w:id="82" w:name="_Toc220506585"/>
      <w:r w:rsidRPr="002627F4">
        <w:rPr>
          <w:smallCaps/>
        </w:rPr>
        <w:t>1</w:t>
      </w:r>
      <w:r w:rsidR="00852507">
        <w:rPr>
          <w:smallCaps/>
        </w:rPr>
        <w:t>4</w:t>
      </w:r>
      <w:r w:rsidRPr="002627F4">
        <w:rPr>
          <w:smallCaps/>
        </w:rPr>
        <w:t xml:space="preserve">. </w:t>
      </w:r>
      <w:r w:rsidR="00560494" w:rsidRPr="002627F4">
        <w:rPr>
          <w:smallCaps/>
        </w:rPr>
        <w:t>Accesso civico</w:t>
      </w:r>
      <w:bookmarkEnd w:id="82"/>
    </w:p>
    <w:p w14:paraId="0B7936F1" w14:textId="77777777" w:rsidR="002627F4" w:rsidRDefault="002627F4" w:rsidP="002034D7">
      <w:pPr>
        <w:shd w:val="clear" w:color="auto" w:fill="FFFFFF"/>
        <w:spacing w:line="360" w:lineRule="auto"/>
        <w:ind w:left="851" w:right="497"/>
        <w:jc w:val="both"/>
        <w:rPr>
          <w:sz w:val="21"/>
          <w:szCs w:val="21"/>
        </w:rPr>
      </w:pPr>
    </w:p>
    <w:p w14:paraId="0AD535F1" w14:textId="4ADD5361" w:rsidR="00560494" w:rsidRPr="00560494" w:rsidRDefault="00560494" w:rsidP="002034D7">
      <w:pPr>
        <w:shd w:val="clear" w:color="auto" w:fill="FFFFFF"/>
        <w:spacing w:line="360" w:lineRule="auto"/>
        <w:ind w:left="851" w:right="497"/>
        <w:jc w:val="both"/>
        <w:rPr>
          <w:sz w:val="21"/>
          <w:szCs w:val="21"/>
        </w:rPr>
      </w:pPr>
      <w:r w:rsidRPr="00560494">
        <w:rPr>
          <w:sz w:val="21"/>
          <w:szCs w:val="21"/>
        </w:rPr>
        <w:t>RPCT ha attivato le procedure idonee a garantire l’accesso civico e ad istituire il relativo registro, come da document</w:t>
      </w:r>
      <w:r w:rsidR="0035544E">
        <w:rPr>
          <w:sz w:val="21"/>
          <w:szCs w:val="21"/>
        </w:rPr>
        <w:t>azione pubblicata sul sito web</w:t>
      </w:r>
      <w:r w:rsidR="00547E0D">
        <w:rPr>
          <w:sz w:val="21"/>
          <w:szCs w:val="21"/>
        </w:rPr>
        <w:t xml:space="preserve"> (</w:t>
      </w:r>
      <w:hyperlink r:id="rId24" w:history="1">
        <w:r w:rsidR="00547E0D" w:rsidRPr="00BB24B2">
          <w:rPr>
            <w:rStyle w:val="Collegamentoipertestuale"/>
            <w:sz w:val="21"/>
            <w:szCs w:val="21"/>
          </w:rPr>
          <w:t>https://emanuelebrignole.it/wp-content/uploads/2017/06/ASP_EBS-Istanza-accesso-civico-generalizzato-e-semplice.pdf</w:t>
        </w:r>
      </w:hyperlink>
      <w:r w:rsidR="00547E0D">
        <w:rPr>
          <w:sz w:val="21"/>
          <w:szCs w:val="21"/>
        </w:rPr>
        <w:t>), mettendo altresì a disposizione la modulistica e le necessarie informazioni al fine di esercitare l’accesso</w:t>
      </w:r>
      <w:r w:rsidRPr="00560494">
        <w:rPr>
          <w:sz w:val="21"/>
          <w:szCs w:val="21"/>
        </w:rPr>
        <w:t>.</w:t>
      </w:r>
    </w:p>
    <w:p w14:paraId="30830E5B" w14:textId="77777777" w:rsidR="00560494" w:rsidRPr="00560494" w:rsidRDefault="00560494" w:rsidP="00C83541">
      <w:pPr>
        <w:shd w:val="clear" w:color="auto" w:fill="FFFFFF"/>
        <w:spacing w:line="360" w:lineRule="auto"/>
        <w:ind w:left="851" w:right="497"/>
        <w:jc w:val="both"/>
        <w:rPr>
          <w:sz w:val="21"/>
          <w:szCs w:val="21"/>
        </w:rPr>
      </w:pPr>
    </w:p>
    <w:p w14:paraId="2ECA8E8E" w14:textId="2E9B003C" w:rsidR="00560494" w:rsidRPr="00C83541" w:rsidRDefault="00D158AC" w:rsidP="00C83541">
      <w:pPr>
        <w:pStyle w:val="Titolo1"/>
        <w:spacing w:line="360" w:lineRule="auto"/>
        <w:ind w:right="497"/>
        <w:jc w:val="both"/>
        <w:rPr>
          <w:smallCaps/>
        </w:rPr>
      </w:pPr>
      <w:bookmarkStart w:id="83" w:name="_Toc536277750"/>
      <w:bookmarkStart w:id="84" w:name="_Toc220506586"/>
      <w:r>
        <w:t>1</w:t>
      </w:r>
      <w:r w:rsidR="00C83541">
        <w:t>5</w:t>
      </w:r>
      <w:r w:rsidRPr="00C83541">
        <w:rPr>
          <w:smallCaps/>
        </w:rPr>
        <w:t xml:space="preserve">. </w:t>
      </w:r>
      <w:r w:rsidR="00560494" w:rsidRPr="00C83541">
        <w:rPr>
          <w:smallCaps/>
        </w:rPr>
        <w:t>Trasparenza e REG. UE 2016/679</w:t>
      </w:r>
      <w:r w:rsidR="003A2657">
        <w:rPr>
          <w:smallCaps/>
        </w:rPr>
        <w:t xml:space="preserve"> </w:t>
      </w:r>
      <w:r w:rsidR="00560494" w:rsidRPr="00C83541">
        <w:rPr>
          <w:smallCaps/>
        </w:rPr>
        <w:t>– Rapporti tra RPTC E RPD</w:t>
      </w:r>
      <w:bookmarkEnd w:id="83"/>
      <w:bookmarkEnd w:id="84"/>
    </w:p>
    <w:p w14:paraId="2BCB9ABB" w14:textId="77777777" w:rsidR="00560494" w:rsidRPr="002627F4" w:rsidRDefault="00560494" w:rsidP="00C83541">
      <w:pPr>
        <w:spacing w:line="360" w:lineRule="auto"/>
        <w:ind w:left="851" w:right="497"/>
        <w:jc w:val="both"/>
        <w:rPr>
          <w:sz w:val="21"/>
          <w:szCs w:val="21"/>
        </w:rPr>
      </w:pPr>
      <w:bookmarkStart w:id="85" w:name="_Toc536267052"/>
      <w:bookmarkStart w:id="86" w:name="_Toc536271144"/>
      <w:bookmarkStart w:id="87" w:name="_Toc536274220"/>
      <w:bookmarkStart w:id="88" w:name="_Toc536277751"/>
      <w:r w:rsidRPr="002627F4">
        <w:rPr>
          <w:sz w:val="21"/>
          <w:szCs w:val="21"/>
        </w:rPr>
        <w:t xml:space="preserve">A seguito del recente Reg UE 2016/679 in parola, recepito da ANAC in sede di PNA 2018 occorre “ricordare che le pubbliche amministrazioni, prima di mettere a disposizione sui propri siti web istituzionali dati e documenti (in forma integrale o per estratto, ivi compresi gli allegati) contenenti dati personali, verifichino che la disciplina in materia di trasparenza contenuta nel d.lgs. 33/2013 o in altre normative, anche di settore, preveda l’obbligo di pubblicazione. Giova </w:t>
      </w:r>
      <w:r w:rsidRPr="002627F4">
        <w:rPr>
          <w:sz w:val="21"/>
          <w:szCs w:val="21"/>
        </w:rPr>
        <w:lastRenderedPageBreak/>
        <w:t>rammentare, tuttavia, che l’attività di pubblicazione dei dati sui siti web per finalità di trasparenza, anche se effettuata in presenza di idoneo presupposto normativo, deve avvenire nel rispetto di tutti i principi applicabili al trattamento dei dati personali contenuti all’art. 5 del Regolamento (UE) 2016/679. In particolare assumono rilievo i principi di adeguatezza, pertinenza e limitazione a quanto necessario rispetto alle finalità per le quali i dati personali sono trattati («minimizzazione dei dati») (par. 1, lett. c) e quelli di esattezza e aggiornamento dei dati, con il conseguente dovere di adottare tutte le misure ragionevoli per cancellare o rettificare tempestivamente i dati inesatti rispetto alle finalità per le quali sono trattati (par. 1, lett. d). Il medesimo d.lgs. 33/2013 all’art. 7 bis, co. 4, dispone inoltre che «Nei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 Si richiama anche quanto previsto all’art. 6 del d.lgs. 33/2013 rubricato “Qualità delle informazioni” che risponde alla esigenza di assicurare esattezza, completezza, aggiornamento e adeguatezza dei dati pubblicati. Al riguardo, si rinvia alle più specifiche indicazioni fornite dal Garante per la protezione dei dati personali. Si ricorda inoltre che, in ogni caso, ai sensi della normativa europea, il Responsabile della Protezione dei Dati-RPD (vedi infra paragrafo successivo) svolge specifici compiti, anche di supporto, per tutta l’amministrazione essendo chiamato a informare, fornire consulenza e sorvegliare in relazione al rispetto degli obblighi derivanti della normativa in materia di protezione dei dati personali (art. 39 del RGPD)”.</w:t>
      </w:r>
      <w:bookmarkEnd w:id="85"/>
      <w:bookmarkEnd w:id="86"/>
      <w:bookmarkEnd w:id="87"/>
      <w:bookmarkEnd w:id="88"/>
      <w:r w:rsidRPr="002627F4">
        <w:rPr>
          <w:sz w:val="21"/>
          <w:szCs w:val="21"/>
        </w:rPr>
        <w:t xml:space="preserve"> </w:t>
      </w:r>
    </w:p>
    <w:p w14:paraId="3CFBB3CD" w14:textId="77777777" w:rsidR="00560494" w:rsidRPr="002627F4" w:rsidRDefault="00560494" w:rsidP="002627F4">
      <w:pPr>
        <w:spacing w:line="360" w:lineRule="auto"/>
        <w:ind w:left="851" w:right="497"/>
        <w:jc w:val="both"/>
        <w:rPr>
          <w:sz w:val="21"/>
          <w:szCs w:val="21"/>
        </w:rPr>
      </w:pPr>
      <w:bookmarkStart w:id="89" w:name="_Toc536267053"/>
      <w:bookmarkStart w:id="90" w:name="_Toc536271145"/>
      <w:bookmarkStart w:id="91" w:name="_Toc536274221"/>
      <w:bookmarkStart w:id="92" w:name="_Toc536277752"/>
      <w:r w:rsidRPr="002627F4">
        <w:rPr>
          <w:sz w:val="21"/>
          <w:szCs w:val="21"/>
        </w:rPr>
        <w:t xml:space="preserve">Relativamente ai rapporti tra RPCT e Responsabile della Protezione dei Dati –RPD - introdotta dal Regolamento (UE) 2016/679 (artt. 37-39), quest’ultimo individuato dalla società in un soggetto </w:t>
      </w:r>
      <w:r w:rsidR="0035544E" w:rsidRPr="002627F4">
        <w:rPr>
          <w:sz w:val="21"/>
          <w:szCs w:val="21"/>
        </w:rPr>
        <w:t xml:space="preserve">formalmente </w:t>
      </w:r>
      <w:r w:rsidRPr="002627F4">
        <w:rPr>
          <w:sz w:val="21"/>
          <w:szCs w:val="21"/>
        </w:rPr>
        <w:t xml:space="preserve">esterno, diverse amministrazioni hanno sollecitato all’Autorità un indirizzo interpretativo. Ciò in ragione della circostanza che molte amministrazioni e soggetti privati tenuti al rispetto delle disposizioni contenute nella l. 190/2012, e quindi alla nomina del RPCT, sono chiamate a individuare anche il RPD.  Come chiarito dal Garante per la protezione dei dati personali l’obbligo investe, infatti, tutti i soggetti pubblici, ad esempio, le amministrazioni dello Stato, anche con ordinamento autonomo, gli enti pubblici non economici nazionali, regionali e locali, le Regioni e gli enti locali, le università, le Camere di commercio, industria, artigianato e agricoltura, le aziende del Servizio sanitario nazionale, le autorità indipendenti ecc.  Secondo le previsioni normative, il RPCT è scelto fra personale interno alle amministrazioni o enti (si rinvia al riguardo all’art. 1, co. 7, della l. 190/2012 e alle precisazioni contenute nei Piani nazionali anticorruzione 2015 e 2016). Diversamente il RPD può essere individuato in una professionalità interna all’ente o assolvere ai suoi compiti in base ad un contratto di servizi stipulato con persona fisica o giuridica esterna all’ente (art. 37 del </w:t>
      </w:r>
      <w:r w:rsidRPr="002627F4">
        <w:rPr>
          <w:sz w:val="21"/>
          <w:szCs w:val="21"/>
        </w:rPr>
        <w:lastRenderedPageBreak/>
        <w:t>Regolamento (UE) 2016/679). Fermo restando, quindi, che il RPCT è sempre un soggetto interno, qualora il RPD sia individuato anch’esso fra soggetti interni, l’Autorità ritiene che, per quanto possibile, tale figura non debba coincidere con il RPCT.</w:t>
      </w:r>
      <w:bookmarkEnd w:id="89"/>
      <w:bookmarkEnd w:id="90"/>
      <w:bookmarkEnd w:id="91"/>
      <w:bookmarkEnd w:id="92"/>
    </w:p>
    <w:p w14:paraId="1F2D9E56" w14:textId="77777777" w:rsidR="00560494" w:rsidRPr="002627F4" w:rsidRDefault="00560494" w:rsidP="002627F4">
      <w:pPr>
        <w:spacing w:line="360" w:lineRule="auto"/>
        <w:ind w:left="851" w:right="497"/>
        <w:jc w:val="both"/>
        <w:rPr>
          <w:sz w:val="21"/>
          <w:szCs w:val="21"/>
        </w:rPr>
      </w:pPr>
      <w:bookmarkStart w:id="93" w:name="_Toc536267054"/>
      <w:bookmarkStart w:id="94" w:name="_Toc536271146"/>
      <w:bookmarkStart w:id="95" w:name="_Toc536274222"/>
      <w:bookmarkStart w:id="96" w:name="_Toc536277753"/>
      <w:r w:rsidRPr="002627F4">
        <w:rPr>
          <w:sz w:val="21"/>
          <w:szCs w:val="21"/>
        </w:rPr>
        <w:t>Anac ha precisato in PNA 2018 che «Resta fermo che, per le questioni di carattere generale riguardanti la protezione dei dati personali, il RPD costituisce una figura di riferimento anche per il RPCT, anche se naturalmente non può sostituirsi ad esso nell’esercizio delle funzioni. Si consideri, ad esempio, il caso delle istanze di riesame di decisioni sull’accesso civico generalizzato che, per quanto possano riguardare profili attinenti alla protezione dei dati personali, sono decise dal RPCT con richiesta di parere al Garante per la protezione dei dati personali ai sensi dell’art. 5, co. 7, del d.lgs. 33/2013. In questi casi il RPCT ben si può avvalere, se ritenuto necessario, di un supporto del RDP nell’ambito di un rapporto di collaborazione interna fra gli uffici ma limitatamente a profili di carattere generale, tenuto conto che proprio la legge attribuisce al RPCT il potere di richiedere un parere al Garante per la protezione dei dati personali. Ciò anche se il RPD sia stato eventualmente già consultato in prima istanza dall’ufficio che ha riscontrato l’accesso civico oggetto del riesame. Le considerazioni sopra espresse per le amministrazioni e gli enti valgono anche per i soggetti di cui all’art. 2-bis, co. 2, del d.lgs. 33/2013 tenuti a nominare il RPCT, qualora, ai sensi del Regolamento (UE) 2016/679, siano obbligati a designare anche il RPD</w:t>
      </w:r>
      <w:bookmarkEnd w:id="93"/>
      <w:bookmarkEnd w:id="94"/>
      <w:bookmarkEnd w:id="95"/>
      <w:bookmarkEnd w:id="96"/>
      <w:r w:rsidRPr="002627F4">
        <w:rPr>
          <w:sz w:val="21"/>
          <w:szCs w:val="21"/>
        </w:rPr>
        <w:t>»</w:t>
      </w:r>
    </w:p>
    <w:p w14:paraId="341FFB12" w14:textId="77777777" w:rsidR="00560494" w:rsidRPr="002627F4" w:rsidRDefault="00560494" w:rsidP="002627F4">
      <w:pPr>
        <w:spacing w:line="360" w:lineRule="auto"/>
        <w:ind w:left="851" w:right="497"/>
        <w:jc w:val="both"/>
        <w:rPr>
          <w:sz w:val="21"/>
          <w:szCs w:val="21"/>
        </w:rPr>
      </w:pPr>
      <w:bookmarkStart w:id="97" w:name="_Toc536267055"/>
      <w:bookmarkStart w:id="98" w:name="_Toc536271147"/>
      <w:bookmarkStart w:id="99" w:name="_Toc536274223"/>
      <w:bookmarkStart w:id="100" w:name="_Toc536277754"/>
      <w:r w:rsidRPr="002627F4">
        <w:rPr>
          <w:sz w:val="21"/>
          <w:szCs w:val="21"/>
        </w:rPr>
        <w:t>Quanto sopra premesso RPCT provvederà a conformarsi ai principi sopra espressi, in particolare nell’attività di pubblicazione dei dati sui siti web per finalità di trasparenza, effettuata in presenza di idoneo presupposto normativo, che sarà effettuata nel rispetto di tutti i principi applicabili al trattamento dei dati personali contenuti all’art. 5 del Regolamento (UE) 2016/679, tra cui quello di adeguatezza, pertinenza e limitazione a quanto necessario rispetto alle finalità per le quali i dati personali sono trattati («</w:t>
      </w:r>
      <w:r w:rsidRPr="002627F4">
        <w:rPr>
          <w:sz w:val="21"/>
          <w:szCs w:val="21"/>
          <w:u w:val="single"/>
        </w:rPr>
        <w:t>minimizzazione dei dati</w:t>
      </w:r>
      <w:r w:rsidRPr="002627F4">
        <w:rPr>
          <w:sz w:val="21"/>
          <w:szCs w:val="21"/>
        </w:rPr>
        <w:t xml:space="preserve">») (par. 1, lett. c) e quelli di </w:t>
      </w:r>
      <w:r w:rsidRPr="002627F4">
        <w:rPr>
          <w:sz w:val="21"/>
          <w:szCs w:val="21"/>
          <w:u w:val="single"/>
        </w:rPr>
        <w:t>esattezza</w:t>
      </w:r>
      <w:r w:rsidRPr="002627F4">
        <w:rPr>
          <w:sz w:val="21"/>
          <w:szCs w:val="21"/>
        </w:rPr>
        <w:t xml:space="preserve"> e </w:t>
      </w:r>
      <w:r w:rsidRPr="002627F4">
        <w:rPr>
          <w:sz w:val="21"/>
          <w:szCs w:val="21"/>
          <w:u w:val="single"/>
        </w:rPr>
        <w:t>aggiornamento</w:t>
      </w:r>
      <w:r w:rsidRPr="002627F4">
        <w:rPr>
          <w:sz w:val="21"/>
          <w:szCs w:val="21"/>
        </w:rPr>
        <w:t xml:space="preserve"> dei dati.</w:t>
      </w:r>
      <w:bookmarkEnd w:id="97"/>
      <w:bookmarkEnd w:id="98"/>
      <w:bookmarkEnd w:id="99"/>
      <w:bookmarkEnd w:id="100"/>
    </w:p>
    <w:sectPr w:rsidR="00560494" w:rsidRPr="002627F4" w:rsidSect="004A30AF">
      <w:headerReference w:type="even" r:id="rId25"/>
      <w:headerReference w:type="default" r:id="rId26"/>
      <w:footerReference w:type="even" r:id="rId27"/>
      <w:footerReference w:type="default" r:id="rId28"/>
      <w:headerReference w:type="first" r:id="rId29"/>
      <w:footerReference w:type="first" r:id="rId30"/>
      <w:pgSz w:w="11910" w:h="16840"/>
      <w:pgMar w:top="993" w:right="320" w:bottom="1680" w:left="320" w:header="708" w:footer="15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75A29" w14:textId="77777777" w:rsidR="0024321D" w:rsidRDefault="0024321D">
      <w:r>
        <w:separator/>
      </w:r>
    </w:p>
  </w:endnote>
  <w:endnote w:type="continuationSeparator" w:id="0">
    <w:p w14:paraId="5C3B44FD" w14:textId="77777777" w:rsidR="0024321D" w:rsidRDefault="00243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991E" w14:textId="77777777" w:rsidR="00E613A8" w:rsidRDefault="00E613A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205A4" w14:textId="77777777" w:rsidR="00BB7808" w:rsidRPr="0047595E" w:rsidRDefault="00BB7808" w:rsidP="0047595E">
    <w:pPr>
      <w:spacing w:line="184" w:lineRule="exact"/>
      <w:ind w:left="20" w:right="638"/>
      <w:jc w:val="right"/>
      <w:rPr>
        <w:rFonts w:ascii="Bahnschrift" w:eastAsia="Cambria" w:hAnsi="Bahnschrift" w:cs="Cambria"/>
        <w:sz w:val="18"/>
        <w:szCs w:val="18"/>
        <w:lang w:val="en-US" w:eastAsia="en-US" w:bidi="ar-SA"/>
      </w:rPr>
    </w:pPr>
    <w:r w:rsidRPr="0047595E">
      <w:rPr>
        <w:rFonts w:ascii="Bahnschrift" w:eastAsia="Cambria" w:hAnsi="Bahnschrift" w:cs="Cambria"/>
        <w:bCs/>
        <w:sz w:val="18"/>
        <w:szCs w:val="18"/>
        <w:lang w:eastAsia="en-US" w:bidi="ar-SA"/>
      </w:rPr>
      <w:t>Pag</w:t>
    </w:r>
    <w:r w:rsidRPr="0047595E">
      <w:rPr>
        <w:rFonts w:ascii="Bahnschrift" w:eastAsia="Cambria" w:hAnsi="Bahnschrift" w:cs="Cambria"/>
        <w:sz w:val="18"/>
        <w:szCs w:val="18"/>
        <w:lang w:eastAsia="en-US" w:bidi="ar-SA"/>
      </w:rPr>
      <w:t xml:space="preserve">. </w:t>
    </w:r>
    <w:r w:rsidRPr="0047595E">
      <w:rPr>
        <w:rFonts w:ascii="Bahnschrift" w:eastAsia="Cambria" w:hAnsi="Bahnschrift" w:cs="Cambria"/>
        <w:bCs/>
        <w:sz w:val="18"/>
        <w:szCs w:val="18"/>
        <w:lang w:eastAsia="en-US" w:bidi="ar-SA"/>
      </w:rPr>
      <w:fldChar w:fldCharType="begin"/>
    </w:r>
    <w:r w:rsidRPr="0047595E">
      <w:rPr>
        <w:rFonts w:ascii="Bahnschrift" w:eastAsia="Cambria" w:hAnsi="Bahnschrift" w:cs="Cambria"/>
        <w:bCs/>
        <w:sz w:val="18"/>
        <w:szCs w:val="18"/>
        <w:lang w:eastAsia="en-US" w:bidi="ar-SA"/>
      </w:rPr>
      <w:instrText xml:space="preserve"> PAGE </w:instrText>
    </w:r>
    <w:r w:rsidRPr="0047595E">
      <w:rPr>
        <w:rFonts w:ascii="Bahnschrift" w:eastAsia="Cambria" w:hAnsi="Bahnschrift" w:cs="Cambria"/>
        <w:bCs/>
        <w:sz w:val="18"/>
        <w:szCs w:val="18"/>
        <w:lang w:eastAsia="en-US" w:bidi="ar-SA"/>
      </w:rPr>
      <w:fldChar w:fldCharType="separate"/>
    </w:r>
    <w:r w:rsidRPr="0047595E">
      <w:rPr>
        <w:rFonts w:ascii="Bahnschrift" w:eastAsia="Cambria" w:hAnsi="Bahnschrift" w:cs="Cambria"/>
        <w:bCs/>
        <w:sz w:val="18"/>
        <w:szCs w:val="18"/>
        <w:lang w:val="en-US" w:eastAsia="en-US" w:bidi="ar-SA"/>
      </w:rPr>
      <w:t>5</w:t>
    </w:r>
    <w:r w:rsidRPr="0047595E">
      <w:rPr>
        <w:rFonts w:ascii="Bahnschrift" w:eastAsia="Cambria" w:hAnsi="Bahnschrift" w:cs="Cambria"/>
        <w:sz w:val="18"/>
        <w:szCs w:val="18"/>
        <w:lang w:val="en-US" w:eastAsia="en-US" w:bidi="ar-SA"/>
      </w:rPr>
      <w:fldChar w:fldCharType="end"/>
    </w:r>
    <w:r w:rsidRPr="0047595E">
      <w:rPr>
        <w:rFonts w:ascii="Bahnschrift" w:eastAsia="Cambria" w:hAnsi="Bahnschrift" w:cs="Cambria"/>
        <w:sz w:val="18"/>
        <w:szCs w:val="18"/>
        <w:lang w:eastAsia="en-US" w:bidi="ar-SA"/>
      </w:rPr>
      <w:t xml:space="preserve"> </w:t>
    </w:r>
    <w:r w:rsidRPr="0047595E">
      <w:rPr>
        <w:rFonts w:ascii="Bahnschrift" w:eastAsia="Cambria" w:hAnsi="Bahnschrift" w:cs="Cambria"/>
        <w:bCs/>
        <w:sz w:val="18"/>
        <w:szCs w:val="18"/>
        <w:lang w:eastAsia="en-US" w:bidi="ar-SA"/>
      </w:rPr>
      <w:t xml:space="preserve">di </w:t>
    </w:r>
    <w:r w:rsidRPr="0047595E">
      <w:rPr>
        <w:rFonts w:ascii="Bahnschrift" w:eastAsia="Cambria" w:hAnsi="Bahnschrift" w:cs="Cambria"/>
        <w:bCs/>
        <w:sz w:val="18"/>
        <w:szCs w:val="18"/>
        <w:lang w:eastAsia="en-US" w:bidi="ar-SA"/>
      </w:rPr>
      <w:fldChar w:fldCharType="begin"/>
    </w:r>
    <w:r w:rsidRPr="0047595E">
      <w:rPr>
        <w:rFonts w:ascii="Bahnschrift" w:eastAsia="Cambria" w:hAnsi="Bahnschrift" w:cs="Cambria"/>
        <w:bCs/>
        <w:sz w:val="18"/>
        <w:szCs w:val="18"/>
        <w:lang w:eastAsia="en-US" w:bidi="ar-SA"/>
      </w:rPr>
      <w:instrText xml:space="preserve"> NUMPAGES \*Arabic </w:instrText>
    </w:r>
    <w:r w:rsidRPr="0047595E">
      <w:rPr>
        <w:rFonts w:ascii="Bahnschrift" w:eastAsia="Cambria" w:hAnsi="Bahnschrift" w:cs="Cambria"/>
        <w:bCs/>
        <w:sz w:val="18"/>
        <w:szCs w:val="18"/>
        <w:lang w:eastAsia="en-US" w:bidi="ar-SA"/>
      </w:rPr>
      <w:fldChar w:fldCharType="separate"/>
    </w:r>
    <w:r w:rsidRPr="0047595E">
      <w:rPr>
        <w:rFonts w:ascii="Bahnschrift" w:eastAsia="Cambria" w:hAnsi="Bahnschrift" w:cs="Cambria"/>
        <w:bCs/>
        <w:sz w:val="18"/>
        <w:szCs w:val="18"/>
        <w:lang w:val="en-US" w:eastAsia="en-US" w:bidi="ar-SA"/>
      </w:rPr>
      <w:t>53</w:t>
    </w:r>
    <w:r w:rsidRPr="0047595E">
      <w:rPr>
        <w:rFonts w:ascii="Bahnschrift" w:eastAsia="Cambria" w:hAnsi="Bahnschrift" w:cs="Cambria"/>
        <w:sz w:val="18"/>
        <w:szCs w:val="18"/>
        <w:lang w:val="en-US" w:eastAsia="en-US" w:bidi="ar-SA"/>
      </w:rPr>
      <w:fldChar w:fldCharType="end"/>
    </w:r>
  </w:p>
  <w:p w14:paraId="09E9B765" w14:textId="77777777" w:rsidR="00BB7808" w:rsidRDefault="00BB7808" w:rsidP="0047595E">
    <w:pPr>
      <w:pStyle w:val="Pidipagina"/>
      <w:ind w:right="49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0B81" w14:textId="77777777" w:rsidR="00E613A8" w:rsidRDefault="00E613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785BC" w14:textId="77777777" w:rsidR="0024321D" w:rsidRDefault="0024321D">
      <w:r>
        <w:separator/>
      </w:r>
    </w:p>
  </w:footnote>
  <w:footnote w:type="continuationSeparator" w:id="0">
    <w:p w14:paraId="5CFA9DE1" w14:textId="77777777" w:rsidR="0024321D" w:rsidRDefault="0024321D">
      <w:r>
        <w:continuationSeparator/>
      </w:r>
    </w:p>
  </w:footnote>
  <w:footnote w:id="1">
    <w:p w14:paraId="0966CD9F" w14:textId="77777777" w:rsidR="00D85672" w:rsidRPr="00834D83" w:rsidRDefault="00D85672" w:rsidP="00D85672">
      <w:pPr>
        <w:pStyle w:val="Testonotaapidipagina"/>
        <w:ind w:left="851" w:right="780"/>
        <w:jc w:val="both"/>
        <w:rPr>
          <w:rFonts w:ascii="Verdana" w:hAnsi="Verdana"/>
        </w:rPr>
      </w:pPr>
      <w:r>
        <w:rPr>
          <w:rStyle w:val="Rimandonotaapidipagina"/>
        </w:rPr>
        <w:footnoteRef/>
      </w:r>
      <w:r>
        <w:t xml:space="preserve"> </w:t>
      </w:r>
      <w:r w:rsidRPr="00834D83">
        <w:rPr>
          <w:rFonts w:ascii="Verdana" w:hAnsi="Verdana"/>
          <w:b/>
          <w:bCs/>
        </w:rPr>
        <w:t xml:space="preserve">Indice di vecchiaia: </w:t>
      </w:r>
      <w:r w:rsidRPr="00834D83">
        <w:rPr>
          <w:rFonts w:ascii="Verdana" w:hAnsi="Verdana"/>
        </w:rPr>
        <w:t xml:space="preserve">Rappresenta il grado di invecchiamento di una popolazione. È il rapporto percentuale tra il numero degli </w:t>
      </w:r>
      <w:proofErr w:type="spellStart"/>
      <w:r w:rsidRPr="00834D83">
        <w:rPr>
          <w:rFonts w:ascii="Verdana" w:hAnsi="Verdana"/>
        </w:rPr>
        <w:t>ultrassessantacinquenni</w:t>
      </w:r>
      <w:proofErr w:type="spellEnd"/>
      <w:r w:rsidRPr="00834D83">
        <w:rPr>
          <w:rFonts w:ascii="Verdana" w:hAnsi="Verdana"/>
        </w:rPr>
        <w:t xml:space="preserve"> ed il numero dei giovani fino ai 14 anni. </w:t>
      </w:r>
      <w:r w:rsidRPr="00834D83">
        <w:rPr>
          <w:rFonts w:ascii="Verdana" w:hAnsi="Verdana"/>
          <w:i/>
          <w:iCs/>
        </w:rPr>
        <w:t>Ad esempio, nel 2020 l'indice di vecchiaia per il comune di Genova dice che ci sono 262,6 anziani ogni 100 giovani.</w:t>
      </w:r>
    </w:p>
    <w:p w14:paraId="47EAFB5E" w14:textId="77777777" w:rsidR="00D85672" w:rsidRPr="00834D83" w:rsidRDefault="00D85672" w:rsidP="00D85672">
      <w:pPr>
        <w:pStyle w:val="Testonotaapidipagina"/>
        <w:ind w:left="851" w:right="780"/>
        <w:jc w:val="both"/>
        <w:rPr>
          <w:rFonts w:ascii="Verdana" w:hAnsi="Verdana"/>
        </w:rPr>
      </w:pPr>
      <w:r w:rsidRPr="00834D83">
        <w:rPr>
          <w:rFonts w:ascii="Verdana" w:hAnsi="Verdana"/>
          <w:b/>
          <w:bCs/>
        </w:rPr>
        <w:t xml:space="preserve">Indice di dipendenza strutturale: </w:t>
      </w:r>
      <w:r w:rsidRPr="00834D83">
        <w:rPr>
          <w:rFonts w:ascii="Verdana" w:hAnsi="Verdana"/>
        </w:rPr>
        <w:t>Rappresenta il carico sociale ed economico della popolazione non attiva (0-14 anni e 65 anni ed oltre) su quella attiva (15-64 anni). </w:t>
      </w:r>
      <w:r w:rsidRPr="00834D83">
        <w:rPr>
          <w:rFonts w:ascii="Verdana" w:hAnsi="Verdana"/>
          <w:i/>
          <w:iCs/>
        </w:rPr>
        <w:t>Ad esempio, teoricamente, a Genova nel 2020 ci sono 66,0 individui a carico, ogni 100 che lavorano.</w:t>
      </w:r>
    </w:p>
    <w:p w14:paraId="1CBA1E3E" w14:textId="77777777" w:rsidR="00D85672" w:rsidRPr="00834D83" w:rsidRDefault="00D85672" w:rsidP="00D85672">
      <w:pPr>
        <w:pStyle w:val="Testonotaapidipagina"/>
        <w:ind w:left="851" w:right="780"/>
        <w:jc w:val="both"/>
        <w:rPr>
          <w:rFonts w:ascii="Verdana" w:hAnsi="Verdana"/>
        </w:rPr>
      </w:pPr>
      <w:r w:rsidRPr="00834D83">
        <w:rPr>
          <w:rFonts w:ascii="Verdana" w:hAnsi="Verdana"/>
          <w:b/>
          <w:bCs/>
        </w:rPr>
        <w:t xml:space="preserve">Indice di struttura della popolazione attiva: </w:t>
      </w:r>
      <w:r w:rsidRPr="00834D83">
        <w:rPr>
          <w:rFonts w:ascii="Verdana" w:hAnsi="Verdana"/>
        </w:rPr>
        <w:t>Rappresenta il grado di invecchiamento della popolazione in età lavorativa. È il rapporto percentuale tra la parte di popolazione in età lavorativa più anziana (40-64 anni) e quella più giovane (15-39 anni).</w:t>
      </w:r>
    </w:p>
    <w:p w14:paraId="2B26E2E0" w14:textId="77777777" w:rsidR="00D85672" w:rsidRPr="00834D83" w:rsidRDefault="00D85672" w:rsidP="00D85672">
      <w:pPr>
        <w:pStyle w:val="Testonotaapidipagina"/>
        <w:ind w:left="851" w:right="780"/>
        <w:jc w:val="both"/>
        <w:rPr>
          <w:rFonts w:ascii="Verdana" w:hAnsi="Verdana"/>
        </w:rPr>
      </w:pPr>
      <w:r w:rsidRPr="00834D83">
        <w:rPr>
          <w:rFonts w:ascii="Verdana" w:hAnsi="Verdana"/>
          <w:b/>
          <w:bCs/>
        </w:rPr>
        <w:t xml:space="preserve">Indice di mortalità: </w:t>
      </w:r>
      <w:r w:rsidRPr="00834D83">
        <w:rPr>
          <w:rFonts w:ascii="Verdana" w:hAnsi="Verdana"/>
        </w:rPr>
        <w:t>Rappresenta il numero medio di decessi in un anno ogni mille abitanti.</w:t>
      </w:r>
    </w:p>
    <w:p w14:paraId="0DDA879D" w14:textId="77777777" w:rsidR="00D85672" w:rsidRPr="00713592" w:rsidRDefault="00D85672" w:rsidP="00D85672">
      <w:pPr>
        <w:pStyle w:val="Testonotaapidipagina"/>
        <w:ind w:left="851" w:right="780"/>
        <w:jc w:val="both"/>
        <w:rPr>
          <w:rFonts w:ascii="Verdana" w:hAnsi="Verdana"/>
          <w:b/>
          <w:bCs/>
        </w:rPr>
      </w:pPr>
      <w:r w:rsidRPr="00834D83">
        <w:rPr>
          <w:rFonts w:ascii="Verdana" w:hAnsi="Verdana"/>
          <w:b/>
          <w:bCs/>
        </w:rPr>
        <w:t xml:space="preserve">Età media </w:t>
      </w:r>
      <w:r w:rsidRPr="00834D83">
        <w:rPr>
          <w:rFonts w:ascii="Verdana" w:hAnsi="Verdana"/>
        </w:rPr>
        <w:t>È la media delle età di una popolazione, calcolata come il rapporto tra la somma delle età di tutti gli individui e il numero della popolazione residente. Da non confondere con l'aspettativa di vita di una popolazione.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825D" w14:textId="43B47E88" w:rsidR="00E613A8" w:rsidRDefault="00E613A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483B" w14:textId="7E670D4E" w:rsidR="00BB7808" w:rsidRDefault="00BB7808">
    <w:pPr>
      <w:pStyle w:val="Corpotes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B890" w14:textId="5A6A8671" w:rsidR="00E613A8" w:rsidRDefault="00E613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60C7"/>
    <w:multiLevelType w:val="hybridMultilevel"/>
    <w:tmpl w:val="108AEFE6"/>
    <w:lvl w:ilvl="0" w:tplc="0764DC8C">
      <w:numFmt w:val="bullet"/>
      <w:lvlText w:val=""/>
      <w:lvlJc w:val="left"/>
      <w:pPr>
        <w:ind w:left="722" w:hanging="361"/>
      </w:pPr>
      <w:rPr>
        <w:rFonts w:ascii="Wingdings" w:eastAsia="Wingdings" w:hAnsi="Wingdings" w:cs="Wingdings" w:hint="default"/>
        <w:w w:val="100"/>
        <w:sz w:val="21"/>
        <w:szCs w:val="21"/>
        <w:lang w:val="it-IT" w:eastAsia="it-IT" w:bidi="it-IT"/>
      </w:rPr>
    </w:lvl>
    <w:lvl w:ilvl="1" w:tplc="7E96B23A">
      <w:numFmt w:val="bullet"/>
      <w:lvlText w:val="•"/>
      <w:lvlJc w:val="left"/>
      <w:pPr>
        <w:ind w:left="931" w:hanging="361"/>
      </w:pPr>
      <w:rPr>
        <w:rFonts w:hint="default"/>
        <w:lang w:val="it-IT" w:eastAsia="it-IT" w:bidi="it-IT"/>
      </w:rPr>
    </w:lvl>
    <w:lvl w:ilvl="2" w:tplc="D31A1782">
      <w:numFmt w:val="bullet"/>
      <w:lvlText w:val="•"/>
      <w:lvlJc w:val="left"/>
      <w:pPr>
        <w:ind w:left="1143" w:hanging="361"/>
      </w:pPr>
      <w:rPr>
        <w:rFonts w:hint="default"/>
        <w:lang w:val="it-IT" w:eastAsia="it-IT" w:bidi="it-IT"/>
      </w:rPr>
    </w:lvl>
    <w:lvl w:ilvl="3" w:tplc="18000CE2">
      <w:numFmt w:val="bullet"/>
      <w:lvlText w:val="•"/>
      <w:lvlJc w:val="left"/>
      <w:pPr>
        <w:ind w:left="1355" w:hanging="361"/>
      </w:pPr>
      <w:rPr>
        <w:rFonts w:hint="default"/>
        <w:lang w:val="it-IT" w:eastAsia="it-IT" w:bidi="it-IT"/>
      </w:rPr>
    </w:lvl>
    <w:lvl w:ilvl="4" w:tplc="7C5A0538">
      <w:numFmt w:val="bullet"/>
      <w:lvlText w:val="•"/>
      <w:lvlJc w:val="left"/>
      <w:pPr>
        <w:ind w:left="1566" w:hanging="361"/>
      </w:pPr>
      <w:rPr>
        <w:rFonts w:hint="default"/>
        <w:lang w:val="it-IT" w:eastAsia="it-IT" w:bidi="it-IT"/>
      </w:rPr>
    </w:lvl>
    <w:lvl w:ilvl="5" w:tplc="A3848036">
      <w:numFmt w:val="bullet"/>
      <w:lvlText w:val="•"/>
      <w:lvlJc w:val="left"/>
      <w:pPr>
        <w:ind w:left="1778" w:hanging="361"/>
      </w:pPr>
      <w:rPr>
        <w:rFonts w:hint="default"/>
        <w:lang w:val="it-IT" w:eastAsia="it-IT" w:bidi="it-IT"/>
      </w:rPr>
    </w:lvl>
    <w:lvl w:ilvl="6" w:tplc="0D4C8838">
      <w:numFmt w:val="bullet"/>
      <w:lvlText w:val="•"/>
      <w:lvlJc w:val="left"/>
      <w:pPr>
        <w:ind w:left="1990" w:hanging="361"/>
      </w:pPr>
      <w:rPr>
        <w:rFonts w:hint="default"/>
        <w:lang w:val="it-IT" w:eastAsia="it-IT" w:bidi="it-IT"/>
      </w:rPr>
    </w:lvl>
    <w:lvl w:ilvl="7" w:tplc="4FDE731E">
      <w:numFmt w:val="bullet"/>
      <w:lvlText w:val="•"/>
      <w:lvlJc w:val="left"/>
      <w:pPr>
        <w:ind w:left="2201" w:hanging="361"/>
      </w:pPr>
      <w:rPr>
        <w:rFonts w:hint="default"/>
        <w:lang w:val="it-IT" w:eastAsia="it-IT" w:bidi="it-IT"/>
      </w:rPr>
    </w:lvl>
    <w:lvl w:ilvl="8" w:tplc="C40450AE">
      <w:numFmt w:val="bullet"/>
      <w:lvlText w:val="•"/>
      <w:lvlJc w:val="left"/>
      <w:pPr>
        <w:ind w:left="2413" w:hanging="361"/>
      </w:pPr>
      <w:rPr>
        <w:rFonts w:hint="default"/>
        <w:lang w:val="it-IT" w:eastAsia="it-IT" w:bidi="it-IT"/>
      </w:rPr>
    </w:lvl>
  </w:abstractNum>
  <w:abstractNum w:abstractNumId="1" w15:restartNumberingAfterBreak="0">
    <w:nsid w:val="0A700E77"/>
    <w:multiLevelType w:val="hybridMultilevel"/>
    <w:tmpl w:val="53F8BA64"/>
    <w:lvl w:ilvl="0" w:tplc="FFFFFFFF">
      <w:start w:val="1"/>
      <w:numFmt w:val="decimal"/>
      <w:lvlText w:val="%1)"/>
      <w:lvlJc w:val="left"/>
      <w:pPr>
        <w:ind w:left="1071" w:hanging="360"/>
      </w:pPr>
      <w:rPr>
        <w:rFonts w:hint="default"/>
      </w:rPr>
    </w:lvl>
    <w:lvl w:ilvl="1" w:tplc="FFFFFFFF" w:tentative="1">
      <w:start w:val="1"/>
      <w:numFmt w:val="lowerLetter"/>
      <w:lvlText w:val="%2."/>
      <w:lvlJc w:val="left"/>
      <w:pPr>
        <w:ind w:left="1791" w:hanging="360"/>
      </w:pPr>
    </w:lvl>
    <w:lvl w:ilvl="2" w:tplc="FFFFFFFF" w:tentative="1">
      <w:start w:val="1"/>
      <w:numFmt w:val="lowerRoman"/>
      <w:lvlText w:val="%3."/>
      <w:lvlJc w:val="right"/>
      <w:pPr>
        <w:ind w:left="2511" w:hanging="180"/>
      </w:pPr>
    </w:lvl>
    <w:lvl w:ilvl="3" w:tplc="FFFFFFFF" w:tentative="1">
      <w:start w:val="1"/>
      <w:numFmt w:val="decimal"/>
      <w:lvlText w:val="%4."/>
      <w:lvlJc w:val="left"/>
      <w:pPr>
        <w:ind w:left="3231" w:hanging="360"/>
      </w:pPr>
    </w:lvl>
    <w:lvl w:ilvl="4" w:tplc="FFFFFFFF" w:tentative="1">
      <w:start w:val="1"/>
      <w:numFmt w:val="lowerLetter"/>
      <w:lvlText w:val="%5."/>
      <w:lvlJc w:val="left"/>
      <w:pPr>
        <w:ind w:left="3951" w:hanging="360"/>
      </w:pPr>
    </w:lvl>
    <w:lvl w:ilvl="5" w:tplc="FFFFFFFF" w:tentative="1">
      <w:start w:val="1"/>
      <w:numFmt w:val="lowerRoman"/>
      <w:lvlText w:val="%6."/>
      <w:lvlJc w:val="right"/>
      <w:pPr>
        <w:ind w:left="4671" w:hanging="180"/>
      </w:pPr>
    </w:lvl>
    <w:lvl w:ilvl="6" w:tplc="FFFFFFFF" w:tentative="1">
      <w:start w:val="1"/>
      <w:numFmt w:val="decimal"/>
      <w:lvlText w:val="%7."/>
      <w:lvlJc w:val="left"/>
      <w:pPr>
        <w:ind w:left="5391" w:hanging="360"/>
      </w:pPr>
    </w:lvl>
    <w:lvl w:ilvl="7" w:tplc="FFFFFFFF" w:tentative="1">
      <w:start w:val="1"/>
      <w:numFmt w:val="lowerLetter"/>
      <w:lvlText w:val="%8."/>
      <w:lvlJc w:val="left"/>
      <w:pPr>
        <w:ind w:left="6111" w:hanging="360"/>
      </w:pPr>
    </w:lvl>
    <w:lvl w:ilvl="8" w:tplc="FFFFFFFF" w:tentative="1">
      <w:start w:val="1"/>
      <w:numFmt w:val="lowerRoman"/>
      <w:lvlText w:val="%9."/>
      <w:lvlJc w:val="right"/>
      <w:pPr>
        <w:ind w:left="6831" w:hanging="180"/>
      </w:pPr>
    </w:lvl>
  </w:abstractNum>
  <w:abstractNum w:abstractNumId="2" w15:restartNumberingAfterBreak="0">
    <w:nsid w:val="0AC429D2"/>
    <w:multiLevelType w:val="hybridMultilevel"/>
    <w:tmpl w:val="64BE385E"/>
    <w:lvl w:ilvl="0" w:tplc="EDD2288E">
      <w:start w:val="1"/>
      <w:numFmt w:val="lowerLetter"/>
      <w:lvlText w:val="%1)"/>
      <w:lvlJc w:val="left"/>
      <w:pPr>
        <w:ind w:left="812" w:hanging="382"/>
      </w:pPr>
      <w:rPr>
        <w:rFonts w:ascii="Verdana" w:eastAsia="Verdana" w:hAnsi="Verdana" w:cs="Verdana" w:hint="default"/>
        <w:w w:val="100"/>
        <w:sz w:val="21"/>
        <w:szCs w:val="21"/>
        <w:lang w:val="it-IT" w:eastAsia="it-IT" w:bidi="it-IT"/>
      </w:rPr>
    </w:lvl>
    <w:lvl w:ilvl="1" w:tplc="426815EE">
      <w:numFmt w:val="bullet"/>
      <w:lvlText w:val="-"/>
      <w:lvlJc w:val="left"/>
      <w:pPr>
        <w:ind w:left="1533" w:hanging="360"/>
      </w:pPr>
      <w:rPr>
        <w:rFonts w:ascii="Verdana" w:eastAsia="Verdana" w:hAnsi="Verdana" w:cs="Verdana" w:hint="default"/>
        <w:w w:val="100"/>
        <w:sz w:val="21"/>
        <w:szCs w:val="21"/>
        <w:lang w:val="it-IT" w:eastAsia="it-IT" w:bidi="it-IT"/>
      </w:rPr>
    </w:lvl>
    <w:lvl w:ilvl="2" w:tplc="C4CC7CE2">
      <w:numFmt w:val="bullet"/>
      <w:lvlText w:val="•"/>
      <w:lvlJc w:val="left"/>
      <w:pPr>
        <w:ind w:left="2620" w:hanging="360"/>
      </w:pPr>
      <w:rPr>
        <w:rFonts w:hint="default"/>
        <w:lang w:val="it-IT" w:eastAsia="it-IT" w:bidi="it-IT"/>
      </w:rPr>
    </w:lvl>
    <w:lvl w:ilvl="3" w:tplc="70F49F48">
      <w:numFmt w:val="bullet"/>
      <w:lvlText w:val="•"/>
      <w:lvlJc w:val="left"/>
      <w:pPr>
        <w:ind w:left="3701" w:hanging="360"/>
      </w:pPr>
      <w:rPr>
        <w:rFonts w:hint="default"/>
        <w:lang w:val="it-IT" w:eastAsia="it-IT" w:bidi="it-IT"/>
      </w:rPr>
    </w:lvl>
    <w:lvl w:ilvl="4" w:tplc="01A6A4DA">
      <w:numFmt w:val="bullet"/>
      <w:lvlText w:val="•"/>
      <w:lvlJc w:val="left"/>
      <w:pPr>
        <w:ind w:left="4782" w:hanging="360"/>
      </w:pPr>
      <w:rPr>
        <w:rFonts w:hint="default"/>
        <w:lang w:val="it-IT" w:eastAsia="it-IT" w:bidi="it-IT"/>
      </w:rPr>
    </w:lvl>
    <w:lvl w:ilvl="5" w:tplc="E4AC4FC8">
      <w:numFmt w:val="bullet"/>
      <w:lvlText w:val="•"/>
      <w:lvlJc w:val="left"/>
      <w:pPr>
        <w:ind w:left="5862" w:hanging="360"/>
      </w:pPr>
      <w:rPr>
        <w:rFonts w:hint="default"/>
        <w:lang w:val="it-IT" w:eastAsia="it-IT" w:bidi="it-IT"/>
      </w:rPr>
    </w:lvl>
    <w:lvl w:ilvl="6" w:tplc="08A88924">
      <w:numFmt w:val="bullet"/>
      <w:lvlText w:val="•"/>
      <w:lvlJc w:val="left"/>
      <w:pPr>
        <w:ind w:left="6943" w:hanging="360"/>
      </w:pPr>
      <w:rPr>
        <w:rFonts w:hint="default"/>
        <w:lang w:val="it-IT" w:eastAsia="it-IT" w:bidi="it-IT"/>
      </w:rPr>
    </w:lvl>
    <w:lvl w:ilvl="7" w:tplc="ABEAA432">
      <w:numFmt w:val="bullet"/>
      <w:lvlText w:val="•"/>
      <w:lvlJc w:val="left"/>
      <w:pPr>
        <w:ind w:left="8024" w:hanging="360"/>
      </w:pPr>
      <w:rPr>
        <w:rFonts w:hint="default"/>
        <w:lang w:val="it-IT" w:eastAsia="it-IT" w:bidi="it-IT"/>
      </w:rPr>
    </w:lvl>
    <w:lvl w:ilvl="8" w:tplc="7B7A6EB4">
      <w:numFmt w:val="bullet"/>
      <w:lvlText w:val="•"/>
      <w:lvlJc w:val="left"/>
      <w:pPr>
        <w:ind w:left="9104" w:hanging="360"/>
      </w:pPr>
      <w:rPr>
        <w:rFonts w:hint="default"/>
        <w:lang w:val="it-IT" w:eastAsia="it-IT" w:bidi="it-IT"/>
      </w:rPr>
    </w:lvl>
  </w:abstractNum>
  <w:abstractNum w:abstractNumId="3" w15:restartNumberingAfterBreak="0">
    <w:nsid w:val="0CBF1C47"/>
    <w:multiLevelType w:val="multilevel"/>
    <w:tmpl w:val="EB98EC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DED68CB"/>
    <w:multiLevelType w:val="multilevel"/>
    <w:tmpl w:val="93D83D12"/>
    <w:lvl w:ilvl="0">
      <w:start w:val="6"/>
      <w:numFmt w:val="decimal"/>
      <w:lvlText w:val="%1."/>
      <w:lvlJc w:val="left"/>
      <w:pPr>
        <w:ind w:left="1495"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935" w:hanging="180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295" w:hanging="2160"/>
      </w:pPr>
      <w:rPr>
        <w:rFonts w:hint="default"/>
      </w:rPr>
    </w:lvl>
    <w:lvl w:ilvl="8">
      <w:start w:val="1"/>
      <w:numFmt w:val="decimal"/>
      <w:isLgl/>
      <w:lvlText w:val="%1.%2.%3.%4.%5.%6.%7.%8.%9"/>
      <w:lvlJc w:val="left"/>
      <w:pPr>
        <w:ind w:left="3655" w:hanging="2520"/>
      </w:pPr>
      <w:rPr>
        <w:rFonts w:hint="default"/>
      </w:rPr>
    </w:lvl>
  </w:abstractNum>
  <w:abstractNum w:abstractNumId="5" w15:restartNumberingAfterBreak="0">
    <w:nsid w:val="12353CB2"/>
    <w:multiLevelType w:val="hybridMultilevel"/>
    <w:tmpl w:val="D21E450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3167955"/>
    <w:multiLevelType w:val="hybridMultilevel"/>
    <w:tmpl w:val="DCFA092E"/>
    <w:lvl w:ilvl="0" w:tplc="5A107BB2">
      <w:start w:val="1"/>
      <w:numFmt w:val="bullet"/>
      <w:lvlText w:val="-"/>
      <w:lvlJc w:val="left"/>
      <w:pPr>
        <w:ind w:left="574" w:hanging="360"/>
      </w:pPr>
      <w:rPr>
        <w:rFonts w:ascii="Arial" w:eastAsia="Arial" w:hAnsi="Arial" w:cs="Arial" w:hint="default"/>
      </w:rPr>
    </w:lvl>
    <w:lvl w:ilvl="1" w:tplc="04100003" w:tentative="1">
      <w:start w:val="1"/>
      <w:numFmt w:val="bullet"/>
      <w:lvlText w:val="o"/>
      <w:lvlJc w:val="left"/>
      <w:pPr>
        <w:ind w:left="1294" w:hanging="360"/>
      </w:pPr>
      <w:rPr>
        <w:rFonts w:ascii="Courier New" w:hAnsi="Courier New" w:cs="Courier New" w:hint="default"/>
      </w:rPr>
    </w:lvl>
    <w:lvl w:ilvl="2" w:tplc="04100005" w:tentative="1">
      <w:start w:val="1"/>
      <w:numFmt w:val="bullet"/>
      <w:lvlText w:val=""/>
      <w:lvlJc w:val="left"/>
      <w:pPr>
        <w:ind w:left="2014" w:hanging="360"/>
      </w:pPr>
      <w:rPr>
        <w:rFonts w:ascii="Wingdings" w:hAnsi="Wingdings" w:hint="default"/>
      </w:rPr>
    </w:lvl>
    <w:lvl w:ilvl="3" w:tplc="04100001" w:tentative="1">
      <w:start w:val="1"/>
      <w:numFmt w:val="bullet"/>
      <w:lvlText w:val=""/>
      <w:lvlJc w:val="left"/>
      <w:pPr>
        <w:ind w:left="2734" w:hanging="360"/>
      </w:pPr>
      <w:rPr>
        <w:rFonts w:ascii="Symbol" w:hAnsi="Symbol" w:hint="default"/>
      </w:rPr>
    </w:lvl>
    <w:lvl w:ilvl="4" w:tplc="04100003" w:tentative="1">
      <w:start w:val="1"/>
      <w:numFmt w:val="bullet"/>
      <w:lvlText w:val="o"/>
      <w:lvlJc w:val="left"/>
      <w:pPr>
        <w:ind w:left="3454" w:hanging="360"/>
      </w:pPr>
      <w:rPr>
        <w:rFonts w:ascii="Courier New" w:hAnsi="Courier New" w:cs="Courier New" w:hint="default"/>
      </w:rPr>
    </w:lvl>
    <w:lvl w:ilvl="5" w:tplc="04100005" w:tentative="1">
      <w:start w:val="1"/>
      <w:numFmt w:val="bullet"/>
      <w:lvlText w:val=""/>
      <w:lvlJc w:val="left"/>
      <w:pPr>
        <w:ind w:left="4174" w:hanging="360"/>
      </w:pPr>
      <w:rPr>
        <w:rFonts w:ascii="Wingdings" w:hAnsi="Wingdings" w:hint="default"/>
      </w:rPr>
    </w:lvl>
    <w:lvl w:ilvl="6" w:tplc="04100001" w:tentative="1">
      <w:start w:val="1"/>
      <w:numFmt w:val="bullet"/>
      <w:lvlText w:val=""/>
      <w:lvlJc w:val="left"/>
      <w:pPr>
        <w:ind w:left="4894" w:hanging="360"/>
      </w:pPr>
      <w:rPr>
        <w:rFonts w:ascii="Symbol" w:hAnsi="Symbol" w:hint="default"/>
      </w:rPr>
    </w:lvl>
    <w:lvl w:ilvl="7" w:tplc="04100003" w:tentative="1">
      <w:start w:val="1"/>
      <w:numFmt w:val="bullet"/>
      <w:lvlText w:val="o"/>
      <w:lvlJc w:val="left"/>
      <w:pPr>
        <w:ind w:left="5614" w:hanging="360"/>
      </w:pPr>
      <w:rPr>
        <w:rFonts w:ascii="Courier New" w:hAnsi="Courier New" w:cs="Courier New" w:hint="default"/>
      </w:rPr>
    </w:lvl>
    <w:lvl w:ilvl="8" w:tplc="04100005" w:tentative="1">
      <w:start w:val="1"/>
      <w:numFmt w:val="bullet"/>
      <w:lvlText w:val=""/>
      <w:lvlJc w:val="left"/>
      <w:pPr>
        <w:ind w:left="6334" w:hanging="360"/>
      </w:pPr>
      <w:rPr>
        <w:rFonts w:ascii="Wingdings" w:hAnsi="Wingdings" w:hint="default"/>
      </w:rPr>
    </w:lvl>
  </w:abstractNum>
  <w:abstractNum w:abstractNumId="7" w15:restartNumberingAfterBreak="0">
    <w:nsid w:val="1D10311F"/>
    <w:multiLevelType w:val="hybridMultilevel"/>
    <w:tmpl w:val="26CA79D4"/>
    <w:lvl w:ilvl="0" w:tplc="3C86575E">
      <w:start w:val="1"/>
      <w:numFmt w:val="lowerRoman"/>
      <w:lvlText w:val="(%1)"/>
      <w:lvlJc w:val="left"/>
      <w:pPr>
        <w:ind w:left="1931" w:hanging="108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8" w15:restartNumberingAfterBreak="0">
    <w:nsid w:val="25AE378A"/>
    <w:multiLevelType w:val="hybridMultilevel"/>
    <w:tmpl w:val="2F24ECD0"/>
    <w:lvl w:ilvl="0" w:tplc="A6A23C46">
      <w:start w:val="1"/>
      <w:numFmt w:val="decimal"/>
      <w:lvlText w:val="%1."/>
      <w:lvlJc w:val="left"/>
      <w:pPr>
        <w:ind w:left="501" w:hanging="360"/>
      </w:pPr>
      <w:rPr>
        <w:rFonts w:hint="default"/>
        <w:b w:val="0"/>
        <w:bCs w:val="0"/>
      </w:rPr>
    </w:lvl>
    <w:lvl w:ilvl="1" w:tplc="04100019" w:tentative="1">
      <w:start w:val="1"/>
      <w:numFmt w:val="lowerLetter"/>
      <w:lvlText w:val="%2."/>
      <w:lvlJc w:val="left"/>
      <w:pPr>
        <w:ind w:left="1221" w:hanging="360"/>
      </w:pPr>
    </w:lvl>
    <w:lvl w:ilvl="2" w:tplc="0410001B" w:tentative="1">
      <w:start w:val="1"/>
      <w:numFmt w:val="lowerRoman"/>
      <w:lvlText w:val="%3."/>
      <w:lvlJc w:val="right"/>
      <w:pPr>
        <w:ind w:left="1941" w:hanging="180"/>
      </w:pPr>
    </w:lvl>
    <w:lvl w:ilvl="3" w:tplc="0410000F" w:tentative="1">
      <w:start w:val="1"/>
      <w:numFmt w:val="decimal"/>
      <w:lvlText w:val="%4."/>
      <w:lvlJc w:val="left"/>
      <w:pPr>
        <w:ind w:left="2661" w:hanging="360"/>
      </w:pPr>
    </w:lvl>
    <w:lvl w:ilvl="4" w:tplc="04100019" w:tentative="1">
      <w:start w:val="1"/>
      <w:numFmt w:val="lowerLetter"/>
      <w:lvlText w:val="%5."/>
      <w:lvlJc w:val="left"/>
      <w:pPr>
        <w:ind w:left="3381" w:hanging="360"/>
      </w:pPr>
    </w:lvl>
    <w:lvl w:ilvl="5" w:tplc="0410001B" w:tentative="1">
      <w:start w:val="1"/>
      <w:numFmt w:val="lowerRoman"/>
      <w:lvlText w:val="%6."/>
      <w:lvlJc w:val="right"/>
      <w:pPr>
        <w:ind w:left="4101" w:hanging="180"/>
      </w:pPr>
    </w:lvl>
    <w:lvl w:ilvl="6" w:tplc="0410000F" w:tentative="1">
      <w:start w:val="1"/>
      <w:numFmt w:val="decimal"/>
      <w:lvlText w:val="%7."/>
      <w:lvlJc w:val="left"/>
      <w:pPr>
        <w:ind w:left="4821" w:hanging="360"/>
      </w:pPr>
    </w:lvl>
    <w:lvl w:ilvl="7" w:tplc="04100019" w:tentative="1">
      <w:start w:val="1"/>
      <w:numFmt w:val="lowerLetter"/>
      <w:lvlText w:val="%8."/>
      <w:lvlJc w:val="left"/>
      <w:pPr>
        <w:ind w:left="5541" w:hanging="360"/>
      </w:pPr>
    </w:lvl>
    <w:lvl w:ilvl="8" w:tplc="0410001B" w:tentative="1">
      <w:start w:val="1"/>
      <w:numFmt w:val="lowerRoman"/>
      <w:lvlText w:val="%9."/>
      <w:lvlJc w:val="right"/>
      <w:pPr>
        <w:ind w:left="6261" w:hanging="180"/>
      </w:pPr>
    </w:lvl>
  </w:abstractNum>
  <w:abstractNum w:abstractNumId="9" w15:restartNumberingAfterBreak="0">
    <w:nsid w:val="2B120747"/>
    <w:multiLevelType w:val="hybridMultilevel"/>
    <w:tmpl w:val="CC56AF32"/>
    <w:lvl w:ilvl="0" w:tplc="BE86CA12">
      <w:numFmt w:val="bullet"/>
      <w:lvlText w:val=""/>
      <w:lvlJc w:val="left"/>
      <w:pPr>
        <w:ind w:left="140" w:hanging="675"/>
      </w:pPr>
      <w:rPr>
        <w:rFonts w:ascii="Wingdings" w:eastAsia="Wingdings" w:hAnsi="Wingdings" w:cs="Wingdings" w:hint="default"/>
        <w:w w:val="100"/>
        <w:sz w:val="21"/>
        <w:szCs w:val="21"/>
        <w:lang w:val="it-IT" w:eastAsia="it-IT" w:bidi="it-IT"/>
      </w:rPr>
    </w:lvl>
    <w:lvl w:ilvl="1" w:tplc="A5FE95C6">
      <w:numFmt w:val="bullet"/>
      <w:lvlText w:val="•"/>
      <w:lvlJc w:val="left"/>
      <w:pPr>
        <w:ind w:left="295" w:hanging="675"/>
      </w:pPr>
      <w:rPr>
        <w:rFonts w:hint="default"/>
        <w:lang w:val="it-IT" w:eastAsia="it-IT" w:bidi="it-IT"/>
      </w:rPr>
    </w:lvl>
    <w:lvl w:ilvl="2" w:tplc="407C33BA">
      <w:numFmt w:val="bullet"/>
      <w:lvlText w:val="•"/>
      <w:lvlJc w:val="left"/>
      <w:pPr>
        <w:ind w:left="450" w:hanging="675"/>
      </w:pPr>
      <w:rPr>
        <w:rFonts w:hint="default"/>
        <w:lang w:val="it-IT" w:eastAsia="it-IT" w:bidi="it-IT"/>
      </w:rPr>
    </w:lvl>
    <w:lvl w:ilvl="3" w:tplc="F4920CE8">
      <w:numFmt w:val="bullet"/>
      <w:lvlText w:val="•"/>
      <w:lvlJc w:val="left"/>
      <w:pPr>
        <w:ind w:left="605" w:hanging="675"/>
      </w:pPr>
      <w:rPr>
        <w:rFonts w:hint="default"/>
        <w:lang w:val="it-IT" w:eastAsia="it-IT" w:bidi="it-IT"/>
      </w:rPr>
    </w:lvl>
    <w:lvl w:ilvl="4" w:tplc="7AD6C232">
      <w:numFmt w:val="bullet"/>
      <w:lvlText w:val="•"/>
      <w:lvlJc w:val="left"/>
      <w:pPr>
        <w:ind w:left="760" w:hanging="675"/>
      </w:pPr>
      <w:rPr>
        <w:rFonts w:hint="default"/>
        <w:lang w:val="it-IT" w:eastAsia="it-IT" w:bidi="it-IT"/>
      </w:rPr>
    </w:lvl>
    <w:lvl w:ilvl="5" w:tplc="B1849942">
      <w:numFmt w:val="bullet"/>
      <w:lvlText w:val="•"/>
      <w:lvlJc w:val="left"/>
      <w:pPr>
        <w:ind w:left="916" w:hanging="675"/>
      </w:pPr>
      <w:rPr>
        <w:rFonts w:hint="default"/>
        <w:lang w:val="it-IT" w:eastAsia="it-IT" w:bidi="it-IT"/>
      </w:rPr>
    </w:lvl>
    <w:lvl w:ilvl="6" w:tplc="191E0E3A">
      <w:numFmt w:val="bullet"/>
      <w:lvlText w:val="•"/>
      <w:lvlJc w:val="left"/>
      <w:pPr>
        <w:ind w:left="1071" w:hanging="675"/>
      </w:pPr>
      <w:rPr>
        <w:rFonts w:hint="default"/>
        <w:lang w:val="it-IT" w:eastAsia="it-IT" w:bidi="it-IT"/>
      </w:rPr>
    </w:lvl>
    <w:lvl w:ilvl="7" w:tplc="08309280">
      <w:numFmt w:val="bullet"/>
      <w:lvlText w:val="•"/>
      <w:lvlJc w:val="left"/>
      <w:pPr>
        <w:ind w:left="1226" w:hanging="675"/>
      </w:pPr>
      <w:rPr>
        <w:rFonts w:hint="default"/>
        <w:lang w:val="it-IT" w:eastAsia="it-IT" w:bidi="it-IT"/>
      </w:rPr>
    </w:lvl>
    <w:lvl w:ilvl="8" w:tplc="CAE42EC8">
      <w:numFmt w:val="bullet"/>
      <w:lvlText w:val="•"/>
      <w:lvlJc w:val="left"/>
      <w:pPr>
        <w:ind w:left="1381" w:hanging="675"/>
      </w:pPr>
      <w:rPr>
        <w:rFonts w:hint="default"/>
        <w:lang w:val="it-IT" w:eastAsia="it-IT" w:bidi="it-IT"/>
      </w:rPr>
    </w:lvl>
  </w:abstractNum>
  <w:abstractNum w:abstractNumId="10" w15:restartNumberingAfterBreak="0">
    <w:nsid w:val="2BEB2331"/>
    <w:multiLevelType w:val="hybridMultilevel"/>
    <w:tmpl w:val="74403C18"/>
    <w:lvl w:ilvl="0" w:tplc="85688984">
      <w:numFmt w:val="bullet"/>
      <w:lvlText w:val="-"/>
      <w:lvlJc w:val="left"/>
      <w:pPr>
        <w:ind w:left="720" w:hanging="360"/>
      </w:pPr>
      <w:rPr>
        <w:rFonts w:ascii="Arial Narrow" w:eastAsia="Arial Narrow" w:hAnsi="Arial Narrow" w:cs="Arial Narrow" w:hint="default"/>
        <w:w w:val="99"/>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D0B3A00"/>
    <w:multiLevelType w:val="hybridMultilevel"/>
    <w:tmpl w:val="BFA4748E"/>
    <w:lvl w:ilvl="0" w:tplc="F6D28296">
      <w:numFmt w:val="bullet"/>
      <w:lvlText w:val=""/>
      <w:lvlJc w:val="left"/>
      <w:pPr>
        <w:ind w:left="438" w:hanging="284"/>
      </w:pPr>
      <w:rPr>
        <w:rFonts w:ascii="Wingdings" w:eastAsia="Wingdings" w:hAnsi="Wingdings" w:cs="Wingdings" w:hint="default"/>
        <w:w w:val="100"/>
        <w:sz w:val="22"/>
        <w:szCs w:val="22"/>
        <w:lang w:val="it-IT" w:eastAsia="it-IT" w:bidi="it-IT"/>
      </w:rPr>
    </w:lvl>
    <w:lvl w:ilvl="1" w:tplc="569CEFA0">
      <w:numFmt w:val="bullet"/>
      <w:lvlText w:val="•"/>
      <w:lvlJc w:val="left"/>
      <w:pPr>
        <w:ind w:left="900" w:hanging="284"/>
      </w:pPr>
      <w:rPr>
        <w:rFonts w:hint="default"/>
        <w:lang w:val="it-IT" w:eastAsia="it-IT" w:bidi="it-IT"/>
      </w:rPr>
    </w:lvl>
    <w:lvl w:ilvl="2" w:tplc="819CDF14">
      <w:numFmt w:val="bullet"/>
      <w:lvlText w:val="•"/>
      <w:lvlJc w:val="left"/>
      <w:pPr>
        <w:ind w:left="1361" w:hanging="284"/>
      </w:pPr>
      <w:rPr>
        <w:rFonts w:hint="default"/>
        <w:lang w:val="it-IT" w:eastAsia="it-IT" w:bidi="it-IT"/>
      </w:rPr>
    </w:lvl>
    <w:lvl w:ilvl="3" w:tplc="C060CCA0">
      <w:numFmt w:val="bullet"/>
      <w:lvlText w:val="•"/>
      <w:lvlJc w:val="left"/>
      <w:pPr>
        <w:ind w:left="1821" w:hanging="284"/>
      </w:pPr>
      <w:rPr>
        <w:rFonts w:hint="default"/>
        <w:lang w:val="it-IT" w:eastAsia="it-IT" w:bidi="it-IT"/>
      </w:rPr>
    </w:lvl>
    <w:lvl w:ilvl="4" w:tplc="AEC0A3FC">
      <w:numFmt w:val="bullet"/>
      <w:lvlText w:val="•"/>
      <w:lvlJc w:val="left"/>
      <w:pPr>
        <w:ind w:left="2282" w:hanging="284"/>
      </w:pPr>
      <w:rPr>
        <w:rFonts w:hint="default"/>
        <w:lang w:val="it-IT" w:eastAsia="it-IT" w:bidi="it-IT"/>
      </w:rPr>
    </w:lvl>
    <w:lvl w:ilvl="5" w:tplc="885CCD1A">
      <w:numFmt w:val="bullet"/>
      <w:lvlText w:val="•"/>
      <w:lvlJc w:val="left"/>
      <w:pPr>
        <w:ind w:left="2743" w:hanging="284"/>
      </w:pPr>
      <w:rPr>
        <w:rFonts w:hint="default"/>
        <w:lang w:val="it-IT" w:eastAsia="it-IT" w:bidi="it-IT"/>
      </w:rPr>
    </w:lvl>
    <w:lvl w:ilvl="6" w:tplc="DDAEE4E4">
      <w:numFmt w:val="bullet"/>
      <w:lvlText w:val="•"/>
      <w:lvlJc w:val="left"/>
      <w:pPr>
        <w:ind w:left="3203" w:hanging="284"/>
      </w:pPr>
      <w:rPr>
        <w:rFonts w:hint="default"/>
        <w:lang w:val="it-IT" w:eastAsia="it-IT" w:bidi="it-IT"/>
      </w:rPr>
    </w:lvl>
    <w:lvl w:ilvl="7" w:tplc="C1EE4432">
      <w:numFmt w:val="bullet"/>
      <w:lvlText w:val="•"/>
      <w:lvlJc w:val="left"/>
      <w:pPr>
        <w:ind w:left="3664" w:hanging="284"/>
      </w:pPr>
      <w:rPr>
        <w:rFonts w:hint="default"/>
        <w:lang w:val="it-IT" w:eastAsia="it-IT" w:bidi="it-IT"/>
      </w:rPr>
    </w:lvl>
    <w:lvl w:ilvl="8" w:tplc="B5CCF43A">
      <w:numFmt w:val="bullet"/>
      <w:lvlText w:val="•"/>
      <w:lvlJc w:val="left"/>
      <w:pPr>
        <w:ind w:left="4124" w:hanging="284"/>
      </w:pPr>
      <w:rPr>
        <w:rFonts w:hint="default"/>
        <w:lang w:val="it-IT" w:eastAsia="it-IT" w:bidi="it-IT"/>
      </w:rPr>
    </w:lvl>
  </w:abstractNum>
  <w:abstractNum w:abstractNumId="12" w15:restartNumberingAfterBreak="0">
    <w:nsid w:val="2FB74C58"/>
    <w:multiLevelType w:val="hybridMultilevel"/>
    <w:tmpl w:val="2F902C2E"/>
    <w:lvl w:ilvl="0" w:tplc="4498FD44">
      <w:start w:val="5"/>
      <w:numFmt w:val="bullet"/>
      <w:lvlText w:val="-"/>
      <w:lvlJc w:val="left"/>
      <w:pPr>
        <w:ind w:left="720" w:hanging="360"/>
      </w:pPr>
      <w:rPr>
        <w:rFonts w:ascii="Century Gothic" w:eastAsia="Times New Roman" w:hAnsi="Century Gothic"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FC5C19"/>
    <w:multiLevelType w:val="hybridMultilevel"/>
    <w:tmpl w:val="E91672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326738"/>
    <w:multiLevelType w:val="hybridMultilevel"/>
    <w:tmpl w:val="1348F95C"/>
    <w:lvl w:ilvl="0" w:tplc="D20A5FDA">
      <w:numFmt w:val="bullet"/>
      <w:lvlText w:val=""/>
      <w:lvlJc w:val="left"/>
      <w:pPr>
        <w:ind w:left="140" w:hanging="675"/>
      </w:pPr>
      <w:rPr>
        <w:rFonts w:ascii="Wingdings" w:eastAsia="Wingdings" w:hAnsi="Wingdings" w:cs="Wingdings" w:hint="default"/>
        <w:w w:val="100"/>
        <w:sz w:val="21"/>
        <w:szCs w:val="21"/>
        <w:lang w:val="it-IT" w:eastAsia="it-IT" w:bidi="it-IT"/>
      </w:rPr>
    </w:lvl>
    <w:lvl w:ilvl="1" w:tplc="C706B1CE">
      <w:numFmt w:val="bullet"/>
      <w:lvlText w:val="•"/>
      <w:lvlJc w:val="left"/>
      <w:pPr>
        <w:ind w:left="295" w:hanging="675"/>
      </w:pPr>
      <w:rPr>
        <w:rFonts w:hint="default"/>
        <w:lang w:val="it-IT" w:eastAsia="it-IT" w:bidi="it-IT"/>
      </w:rPr>
    </w:lvl>
    <w:lvl w:ilvl="2" w:tplc="E12AC32E">
      <w:numFmt w:val="bullet"/>
      <w:lvlText w:val="•"/>
      <w:lvlJc w:val="left"/>
      <w:pPr>
        <w:ind w:left="450" w:hanging="675"/>
      </w:pPr>
      <w:rPr>
        <w:rFonts w:hint="default"/>
        <w:lang w:val="it-IT" w:eastAsia="it-IT" w:bidi="it-IT"/>
      </w:rPr>
    </w:lvl>
    <w:lvl w:ilvl="3" w:tplc="71A2DDAC">
      <w:numFmt w:val="bullet"/>
      <w:lvlText w:val="•"/>
      <w:lvlJc w:val="left"/>
      <w:pPr>
        <w:ind w:left="605" w:hanging="675"/>
      </w:pPr>
      <w:rPr>
        <w:rFonts w:hint="default"/>
        <w:lang w:val="it-IT" w:eastAsia="it-IT" w:bidi="it-IT"/>
      </w:rPr>
    </w:lvl>
    <w:lvl w:ilvl="4" w:tplc="A330E100">
      <w:numFmt w:val="bullet"/>
      <w:lvlText w:val="•"/>
      <w:lvlJc w:val="left"/>
      <w:pPr>
        <w:ind w:left="760" w:hanging="675"/>
      </w:pPr>
      <w:rPr>
        <w:rFonts w:hint="default"/>
        <w:lang w:val="it-IT" w:eastAsia="it-IT" w:bidi="it-IT"/>
      </w:rPr>
    </w:lvl>
    <w:lvl w:ilvl="5" w:tplc="508C9E70">
      <w:numFmt w:val="bullet"/>
      <w:lvlText w:val="•"/>
      <w:lvlJc w:val="left"/>
      <w:pPr>
        <w:ind w:left="916" w:hanging="675"/>
      </w:pPr>
      <w:rPr>
        <w:rFonts w:hint="default"/>
        <w:lang w:val="it-IT" w:eastAsia="it-IT" w:bidi="it-IT"/>
      </w:rPr>
    </w:lvl>
    <w:lvl w:ilvl="6" w:tplc="C5109952">
      <w:numFmt w:val="bullet"/>
      <w:lvlText w:val="•"/>
      <w:lvlJc w:val="left"/>
      <w:pPr>
        <w:ind w:left="1071" w:hanging="675"/>
      </w:pPr>
      <w:rPr>
        <w:rFonts w:hint="default"/>
        <w:lang w:val="it-IT" w:eastAsia="it-IT" w:bidi="it-IT"/>
      </w:rPr>
    </w:lvl>
    <w:lvl w:ilvl="7" w:tplc="56C890C8">
      <w:numFmt w:val="bullet"/>
      <w:lvlText w:val="•"/>
      <w:lvlJc w:val="left"/>
      <w:pPr>
        <w:ind w:left="1226" w:hanging="675"/>
      </w:pPr>
      <w:rPr>
        <w:rFonts w:hint="default"/>
        <w:lang w:val="it-IT" w:eastAsia="it-IT" w:bidi="it-IT"/>
      </w:rPr>
    </w:lvl>
    <w:lvl w:ilvl="8" w:tplc="AF500F84">
      <w:numFmt w:val="bullet"/>
      <w:lvlText w:val="•"/>
      <w:lvlJc w:val="left"/>
      <w:pPr>
        <w:ind w:left="1381" w:hanging="675"/>
      </w:pPr>
      <w:rPr>
        <w:rFonts w:hint="default"/>
        <w:lang w:val="it-IT" w:eastAsia="it-IT" w:bidi="it-IT"/>
      </w:rPr>
    </w:lvl>
  </w:abstractNum>
  <w:abstractNum w:abstractNumId="15" w15:restartNumberingAfterBreak="0">
    <w:nsid w:val="3C374E7C"/>
    <w:multiLevelType w:val="hybridMultilevel"/>
    <w:tmpl w:val="E44CD162"/>
    <w:lvl w:ilvl="0" w:tplc="97F620E8">
      <w:start w:val="13"/>
      <w:numFmt w:val="decimal"/>
      <w:lvlText w:val="%1"/>
      <w:lvlJc w:val="left"/>
      <w:pPr>
        <w:ind w:left="1495" w:hanging="360"/>
      </w:pPr>
      <w:rPr>
        <w:rFonts w:hint="default"/>
      </w:rPr>
    </w:lvl>
    <w:lvl w:ilvl="1" w:tplc="04100019" w:tentative="1">
      <w:start w:val="1"/>
      <w:numFmt w:val="lowerLetter"/>
      <w:lvlText w:val="%2."/>
      <w:lvlJc w:val="left"/>
      <w:pPr>
        <w:ind w:left="2215" w:hanging="360"/>
      </w:pPr>
    </w:lvl>
    <w:lvl w:ilvl="2" w:tplc="0410001B" w:tentative="1">
      <w:start w:val="1"/>
      <w:numFmt w:val="lowerRoman"/>
      <w:lvlText w:val="%3."/>
      <w:lvlJc w:val="right"/>
      <w:pPr>
        <w:ind w:left="2935" w:hanging="180"/>
      </w:pPr>
    </w:lvl>
    <w:lvl w:ilvl="3" w:tplc="0410000F" w:tentative="1">
      <w:start w:val="1"/>
      <w:numFmt w:val="decimal"/>
      <w:lvlText w:val="%4."/>
      <w:lvlJc w:val="left"/>
      <w:pPr>
        <w:ind w:left="3655" w:hanging="360"/>
      </w:pPr>
    </w:lvl>
    <w:lvl w:ilvl="4" w:tplc="04100019" w:tentative="1">
      <w:start w:val="1"/>
      <w:numFmt w:val="lowerLetter"/>
      <w:lvlText w:val="%5."/>
      <w:lvlJc w:val="left"/>
      <w:pPr>
        <w:ind w:left="4375" w:hanging="360"/>
      </w:pPr>
    </w:lvl>
    <w:lvl w:ilvl="5" w:tplc="0410001B" w:tentative="1">
      <w:start w:val="1"/>
      <w:numFmt w:val="lowerRoman"/>
      <w:lvlText w:val="%6."/>
      <w:lvlJc w:val="right"/>
      <w:pPr>
        <w:ind w:left="5095" w:hanging="180"/>
      </w:pPr>
    </w:lvl>
    <w:lvl w:ilvl="6" w:tplc="0410000F" w:tentative="1">
      <w:start w:val="1"/>
      <w:numFmt w:val="decimal"/>
      <w:lvlText w:val="%7."/>
      <w:lvlJc w:val="left"/>
      <w:pPr>
        <w:ind w:left="5815" w:hanging="360"/>
      </w:pPr>
    </w:lvl>
    <w:lvl w:ilvl="7" w:tplc="04100019" w:tentative="1">
      <w:start w:val="1"/>
      <w:numFmt w:val="lowerLetter"/>
      <w:lvlText w:val="%8."/>
      <w:lvlJc w:val="left"/>
      <w:pPr>
        <w:ind w:left="6535" w:hanging="360"/>
      </w:pPr>
    </w:lvl>
    <w:lvl w:ilvl="8" w:tplc="0410001B" w:tentative="1">
      <w:start w:val="1"/>
      <w:numFmt w:val="lowerRoman"/>
      <w:lvlText w:val="%9."/>
      <w:lvlJc w:val="right"/>
      <w:pPr>
        <w:ind w:left="7255" w:hanging="180"/>
      </w:pPr>
    </w:lvl>
  </w:abstractNum>
  <w:abstractNum w:abstractNumId="16" w15:restartNumberingAfterBreak="0">
    <w:nsid w:val="410B06E4"/>
    <w:multiLevelType w:val="hybridMultilevel"/>
    <w:tmpl w:val="37EA5954"/>
    <w:lvl w:ilvl="0" w:tplc="85688984">
      <w:numFmt w:val="bullet"/>
      <w:lvlText w:val="-"/>
      <w:lvlJc w:val="left"/>
      <w:pPr>
        <w:ind w:left="720" w:hanging="360"/>
      </w:pPr>
      <w:rPr>
        <w:rFonts w:ascii="Arial Narrow" w:eastAsia="Arial Narrow" w:hAnsi="Arial Narrow" w:cs="Arial Narrow" w:hint="default"/>
        <w:color w:val="auto"/>
        <w:w w:val="99"/>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173258E"/>
    <w:multiLevelType w:val="hybridMultilevel"/>
    <w:tmpl w:val="9F749C1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433042B5"/>
    <w:multiLevelType w:val="hybridMultilevel"/>
    <w:tmpl w:val="35F4288E"/>
    <w:lvl w:ilvl="0" w:tplc="3140ED02">
      <w:start w:val="1"/>
      <w:numFmt w:val="decimal"/>
      <w:lvlText w:val="%1."/>
      <w:lvlJc w:val="left"/>
      <w:pPr>
        <w:ind w:left="816" w:hanging="675"/>
      </w:pPr>
      <w:rPr>
        <w:rFonts w:hint="default"/>
        <w:b w:val="0"/>
        <w:bCs/>
      </w:rPr>
    </w:lvl>
    <w:lvl w:ilvl="1" w:tplc="04100019" w:tentative="1">
      <w:start w:val="1"/>
      <w:numFmt w:val="lowerLetter"/>
      <w:lvlText w:val="%2."/>
      <w:lvlJc w:val="left"/>
      <w:pPr>
        <w:ind w:left="1221" w:hanging="360"/>
      </w:pPr>
    </w:lvl>
    <w:lvl w:ilvl="2" w:tplc="0410001B" w:tentative="1">
      <w:start w:val="1"/>
      <w:numFmt w:val="lowerRoman"/>
      <w:lvlText w:val="%3."/>
      <w:lvlJc w:val="right"/>
      <w:pPr>
        <w:ind w:left="1941" w:hanging="180"/>
      </w:pPr>
    </w:lvl>
    <w:lvl w:ilvl="3" w:tplc="0410000F" w:tentative="1">
      <w:start w:val="1"/>
      <w:numFmt w:val="decimal"/>
      <w:lvlText w:val="%4."/>
      <w:lvlJc w:val="left"/>
      <w:pPr>
        <w:ind w:left="2661" w:hanging="360"/>
      </w:pPr>
    </w:lvl>
    <w:lvl w:ilvl="4" w:tplc="04100019" w:tentative="1">
      <w:start w:val="1"/>
      <w:numFmt w:val="lowerLetter"/>
      <w:lvlText w:val="%5."/>
      <w:lvlJc w:val="left"/>
      <w:pPr>
        <w:ind w:left="3381" w:hanging="360"/>
      </w:pPr>
    </w:lvl>
    <w:lvl w:ilvl="5" w:tplc="0410001B" w:tentative="1">
      <w:start w:val="1"/>
      <w:numFmt w:val="lowerRoman"/>
      <w:lvlText w:val="%6."/>
      <w:lvlJc w:val="right"/>
      <w:pPr>
        <w:ind w:left="4101" w:hanging="180"/>
      </w:pPr>
    </w:lvl>
    <w:lvl w:ilvl="6" w:tplc="0410000F" w:tentative="1">
      <w:start w:val="1"/>
      <w:numFmt w:val="decimal"/>
      <w:lvlText w:val="%7."/>
      <w:lvlJc w:val="left"/>
      <w:pPr>
        <w:ind w:left="4821" w:hanging="360"/>
      </w:pPr>
    </w:lvl>
    <w:lvl w:ilvl="7" w:tplc="04100019" w:tentative="1">
      <w:start w:val="1"/>
      <w:numFmt w:val="lowerLetter"/>
      <w:lvlText w:val="%8."/>
      <w:lvlJc w:val="left"/>
      <w:pPr>
        <w:ind w:left="5541" w:hanging="360"/>
      </w:pPr>
    </w:lvl>
    <w:lvl w:ilvl="8" w:tplc="0410001B" w:tentative="1">
      <w:start w:val="1"/>
      <w:numFmt w:val="lowerRoman"/>
      <w:lvlText w:val="%9."/>
      <w:lvlJc w:val="right"/>
      <w:pPr>
        <w:ind w:left="6261" w:hanging="180"/>
      </w:pPr>
    </w:lvl>
  </w:abstractNum>
  <w:abstractNum w:abstractNumId="19" w15:restartNumberingAfterBreak="0">
    <w:nsid w:val="438222B7"/>
    <w:multiLevelType w:val="hybridMultilevel"/>
    <w:tmpl w:val="D21E450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5440813"/>
    <w:multiLevelType w:val="hybridMultilevel"/>
    <w:tmpl w:val="E2A42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6BA15DB"/>
    <w:multiLevelType w:val="hybridMultilevel"/>
    <w:tmpl w:val="D21E450E"/>
    <w:lvl w:ilvl="0" w:tplc="5DC499F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474026E5"/>
    <w:multiLevelType w:val="hybridMultilevel"/>
    <w:tmpl w:val="DAA6D356"/>
    <w:lvl w:ilvl="0" w:tplc="04100001">
      <w:start w:val="1"/>
      <w:numFmt w:val="bullet"/>
      <w:lvlText w:val=""/>
      <w:lvlJc w:val="left"/>
      <w:pPr>
        <w:ind w:left="212" w:hanging="708"/>
      </w:pPr>
      <w:rPr>
        <w:rFonts w:ascii="Symbol" w:hAnsi="Symbol" w:hint="default"/>
        <w:w w:val="99"/>
        <w:sz w:val="24"/>
        <w:szCs w:val="24"/>
      </w:rPr>
    </w:lvl>
    <w:lvl w:ilvl="1" w:tplc="9984C8A4">
      <w:numFmt w:val="bullet"/>
      <w:lvlText w:val="•"/>
      <w:lvlJc w:val="left"/>
      <w:pPr>
        <w:ind w:left="1222" w:hanging="708"/>
      </w:pPr>
      <w:rPr>
        <w:rFonts w:hint="default"/>
      </w:rPr>
    </w:lvl>
    <w:lvl w:ilvl="2" w:tplc="DACA0570">
      <w:numFmt w:val="bullet"/>
      <w:lvlText w:val="•"/>
      <w:lvlJc w:val="left"/>
      <w:pPr>
        <w:ind w:left="2224" w:hanging="708"/>
      </w:pPr>
      <w:rPr>
        <w:rFonts w:hint="default"/>
      </w:rPr>
    </w:lvl>
    <w:lvl w:ilvl="3" w:tplc="E08855F6">
      <w:numFmt w:val="bullet"/>
      <w:lvlText w:val="•"/>
      <w:lvlJc w:val="left"/>
      <w:pPr>
        <w:ind w:left="3226" w:hanging="708"/>
      </w:pPr>
      <w:rPr>
        <w:rFonts w:hint="default"/>
      </w:rPr>
    </w:lvl>
    <w:lvl w:ilvl="4" w:tplc="1576D6B4">
      <w:numFmt w:val="bullet"/>
      <w:lvlText w:val="•"/>
      <w:lvlJc w:val="left"/>
      <w:pPr>
        <w:ind w:left="4228" w:hanging="708"/>
      </w:pPr>
      <w:rPr>
        <w:rFonts w:hint="default"/>
      </w:rPr>
    </w:lvl>
    <w:lvl w:ilvl="5" w:tplc="33F45E66">
      <w:numFmt w:val="bullet"/>
      <w:lvlText w:val="•"/>
      <w:lvlJc w:val="left"/>
      <w:pPr>
        <w:ind w:left="5230" w:hanging="708"/>
      </w:pPr>
      <w:rPr>
        <w:rFonts w:hint="default"/>
      </w:rPr>
    </w:lvl>
    <w:lvl w:ilvl="6" w:tplc="0406D5D6">
      <w:numFmt w:val="bullet"/>
      <w:lvlText w:val="•"/>
      <w:lvlJc w:val="left"/>
      <w:pPr>
        <w:ind w:left="6232" w:hanging="708"/>
      </w:pPr>
      <w:rPr>
        <w:rFonts w:hint="default"/>
      </w:rPr>
    </w:lvl>
    <w:lvl w:ilvl="7" w:tplc="01FEA8D4">
      <w:numFmt w:val="bullet"/>
      <w:lvlText w:val="•"/>
      <w:lvlJc w:val="left"/>
      <w:pPr>
        <w:ind w:left="7234" w:hanging="708"/>
      </w:pPr>
      <w:rPr>
        <w:rFonts w:hint="default"/>
      </w:rPr>
    </w:lvl>
    <w:lvl w:ilvl="8" w:tplc="46128596">
      <w:numFmt w:val="bullet"/>
      <w:lvlText w:val="•"/>
      <w:lvlJc w:val="left"/>
      <w:pPr>
        <w:ind w:left="8236" w:hanging="708"/>
      </w:pPr>
      <w:rPr>
        <w:rFonts w:hint="default"/>
      </w:rPr>
    </w:lvl>
  </w:abstractNum>
  <w:abstractNum w:abstractNumId="23" w15:restartNumberingAfterBreak="0">
    <w:nsid w:val="4ACA7703"/>
    <w:multiLevelType w:val="hybridMultilevel"/>
    <w:tmpl w:val="8160A244"/>
    <w:lvl w:ilvl="0" w:tplc="0410000D">
      <w:start w:val="1"/>
      <w:numFmt w:val="bullet"/>
      <w:lvlText w:val=""/>
      <w:lvlJc w:val="left"/>
      <w:pPr>
        <w:ind w:left="860" w:hanging="360"/>
      </w:pPr>
      <w:rPr>
        <w:rFonts w:ascii="Wingdings" w:hAnsi="Wingdings" w:hint="default"/>
      </w:rPr>
    </w:lvl>
    <w:lvl w:ilvl="1" w:tplc="04100003" w:tentative="1">
      <w:start w:val="1"/>
      <w:numFmt w:val="bullet"/>
      <w:lvlText w:val="o"/>
      <w:lvlJc w:val="left"/>
      <w:pPr>
        <w:ind w:left="1580" w:hanging="360"/>
      </w:pPr>
      <w:rPr>
        <w:rFonts w:ascii="Courier New" w:hAnsi="Courier New" w:cs="Courier New" w:hint="default"/>
      </w:rPr>
    </w:lvl>
    <w:lvl w:ilvl="2" w:tplc="04100005" w:tentative="1">
      <w:start w:val="1"/>
      <w:numFmt w:val="bullet"/>
      <w:lvlText w:val=""/>
      <w:lvlJc w:val="left"/>
      <w:pPr>
        <w:ind w:left="2300" w:hanging="360"/>
      </w:pPr>
      <w:rPr>
        <w:rFonts w:ascii="Wingdings" w:hAnsi="Wingdings" w:hint="default"/>
      </w:rPr>
    </w:lvl>
    <w:lvl w:ilvl="3" w:tplc="04100001" w:tentative="1">
      <w:start w:val="1"/>
      <w:numFmt w:val="bullet"/>
      <w:lvlText w:val=""/>
      <w:lvlJc w:val="left"/>
      <w:pPr>
        <w:ind w:left="3020" w:hanging="360"/>
      </w:pPr>
      <w:rPr>
        <w:rFonts w:ascii="Symbol" w:hAnsi="Symbol" w:hint="default"/>
      </w:rPr>
    </w:lvl>
    <w:lvl w:ilvl="4" w:tplc="04100003" w:tentative="1">
      <w:start w:val="1"/>
      <w:numFmt w:val="bullet"/>
      <w:lvlText w:val="o"/>
      <w:lvlJc w:val="left"/>
      <w:pPr>
        <w:ind w:left="3740" w:hanging="360"/>
      </w:pPr>
      <w:rPr>
        <w:rFonts w:ascii="Courier New" w:hAnsi="Courier New" w:cs="Courier New" w:hint="default"/>
      </w:rPr>
    </w:lvl>
    <w:lvl w:ilvl="5" w:tplc="04100005" w:tentative="1">
      <w:start w:val="1"/>
      <w:numFmt w:val="bullet"/>
      <w:lvlText w:val=""/>
      <w:lvlJc w:val="left"/>
      <w:pPr>
        <w:ind w:left="4460" w:hanging="360"/>
      </w:pPr>
      <w:rPr>
        <w:rFonts w:ascii="Wingdings" w:hAnsi="Wingdings" w:hint="default"/>
      </w:rPr>
    </w:lvl>
    <w:lvl w:ilvl="6" w:tplc="04100001" w:tentative="1">
      <w:start w:val="1"/>
      <w:numFmt w:val="bullet"/>
      <w:lvlText w:val=""/>
      <w:lvlJc w:val="left"/>
      <w:pPr>
        <w:ind w:left="5180" w:hanging="360"/>
      </w:pPr>
      <w:rPr>
        <w:rFonts w:ascii="Symbol" w:hAnsi="Symbol" w:hint="default"/>
      </w:rPr>
    </w:lvl>
    <w:lvl w:ilvl="7" w:tplc="04100003" w:tentative="1">
      <w:start w:val="1"/>
      <w:numFmt w:val="bullet"/>
      <w:lvlText w:val="o"/>
      <w:lvlJc w:val="left"/>
      <w:pPr>
        <w:ind w:left="5900" w:hanging="360"/>
      </w:pPr>
      <w:rPr>
        <w:rFonts w:ascii="Courier New" w:hAnsi="Courier New" w:cs="Courier New" w:hint="default"/>
      </w:rPr>
    </w:lvl>
    <w:lvl w:ilvl="8" w:tplc="04100005" w:tentative="1">
      <w:start w:val="1"/>
      <w:numFmt w:val="bullet"/>
      <w:lvlText w:val=""/>
      <w:lvlJc w:val="left"/>
      <w:pPr>
        <w:ind w:left="6620" w:hanging="360"/>
      </w:pPr>
      <w:rPr>
        <w:rFonts w:ascii="Wingdings" w:hAnsi="Wingdings" w:hint="default"/>
      </w:rPr>
    </w:lvl>
  </w:abstractNum>
  <w:abstractNum w:abstractNumId="24" w15:restartNumberingAfterBreak="0">
    <w:nsid w:val="4AF442D1"/>
    <w:multiLevelType w:val="hybridMultilevel"/>
    <w:tmpl w:val="8E7C9F7A"/>
    <w:lvl w:ilvl="0" w:tplc="656C36D2">
      <w:start w:val="15"/>
      <w:numFmt w:val="bullet"/>
      <w:lvlText w:val="-"/>
      <w:lvlJc w:val="left"/>
      <w:pPr>
        <w:ind w:left="1211" w:hanging="360"/>
      </w:pPr>
      <w:rPr>
        <w:rFonts w:ascii="Verdana" w:eastAsia="Verdana" w:hAnsi="Verdana" w:cs="Verdana"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25" w15:restartNumberingAfterBreak="0">
    <w:nsid w:val="4B220C62"/>
    <w:multiLevelType w:val="hybridMultilevel"/>
    <w:tmpl w:val="28021974"/>
    <w:lvl w:ilvl="0" w:tplc="0410000D">
      <w:start w:val="1"/>
      <w:numFmt w:val="bullet"/>
      <w:lvlText w:val=""/>
      <w:lvlJc w:val="left"/>
      <w:pPr>
        <w:ind w:left="538" w:hanging="360"/>
      </w:pPr>
      <w:rPr>
        <w:rFonts w:ascii="Wingdings" w:hAnsi="Wingdings" w:hint="default"/>
      </w:rPr>
    </w:lvl>
    <w:lvl w:ilvl="1" w:tplc="04100003" w:tentative="1">
      <w:start w:val="1"/>
      <w:numFmt w:val="bullet"/>
      <w:lvlText w:val="o"/>
      <w:lvlJc w:val="left"/>
      <w:pPr>
        <w:ind w:left="1258" w:hanging="360"/>
      </w:pPr>
      <w:rPr>
        <w:rFonts w:ascii="Courier New" w:hAnsi="Courier New" w:cs="Courier New" w:hint="default"/>
      </w:rPr>
    </w:lvl>
    <w:lvl w:ilvl="2" w:tplc="04100005" w:tentative="1">
      <w:start w:val="1"/>
      <w:numFmt w:val="bullet"/>
      <w:lvlText w:val=""/>
      <w:lvlJc w:val="left"/>
      <w:pPr>
        <w:ind w:left="1978" w:hanging="360"/>
      </w:pPr>
      <w:rPr>
        <w:rFonts w:ascii="Wingdings" w:hAnsi="Wingdings" w:hint="default"/>
      </w:rPr>
    </w:lvl>
    <w:lvl w:ilvl="3" w:tplc="04100001" w:tentative="1">
      <w:start w:val="1"/>
      <w:numFmt w:val="bullet"/>
      <w:lvlText w:val=""/>
      <w:lvlJc w:val="left"/>
      <w:pPr>
        <w:ind w:left="2698" w:hanging="360"/>
      </w:pPr>
      <w:rPr>
        <w:rFonts w:ascii="Symbol" w:hAnsi="Symbol" w:hint="default"/>
      </w:rPr>
    </w:lvl>
    <w:lvl w:ilvl="4" w:tplc="04100003" w:tentative="1">
      <w:start w:val="1"/>
      <w:numFmt w:val="bullet"/>
      <w:lvlText w:val="o"/>
      <w:lvlJc w:val="left"/>
      <w:pPr>
        <w:ind w:left="3418" w:hanging="360"/>
      </w:pPr>
      <w:rPr>
        <w:rFonts w:ascii="Courier New" w:hAnsi="Courier New" w:cs="Courier New" w:hint="default"/>
      </w:rPr>
    </w:lvl>
    <w:lvl w:ilvl="5" w:tplc="04100005" w:tentative="1">
      <w:start w:val="1"/>
      <w:numFmt w:val="bullet"/>
      <w:lvlText w:val=""/>
      <w:lvlJc w:val="left"/>
      <w:pPr>
        <w:ind w:left="4138" w:hanging="360"/>
      </w:pPr>
      <w:rPr>
        <w:rFonts w:ascii="Wingdings" w:hAnsi="Wingdings" w:hint="default"/>
      </w:rPr>
    </w:lvl>
    <w:lvl w:ilvl="6" w:tplc="04100001" w:tentative="1">
      <w:start w:val="1"/>
      <w:numFmt w:val="bullet"/>
      <w:lvlText w:val=""/>
      <w:lvlJc w:val="left"/>
      <w:pPr>
        <w:ind w:left="4858" w:hanging="360"/>
      </w:pPr>
      <w:rPr>
        <w:rFonts w:ascii="Symbol" w:hAnsi="Symbol" w:hint="default"/>
      </w:rPr>
    </w:lvl>
    <w:lvl w:ilvl="7" w:tplc="04100003" w:tentative="1">
      <w:start w:val="1"/>
      <w:numFmt w:val="bullet"/>
      <w:lvlText w:val="o"/>
      <w:lvlJc w:val="left"/>
      <w:pPr>
        <w:ind w:left="5578" w:hanging="360"/>
      </w:pPr>
      <w:rPr>
        <w:rFonts w:ascii="Courier New" w:hAnsi="Courier New" w:cs="Courier New" w:hint="default"/>
      </w:rPr>
    </w:lvl>
    <w:lvl w:ilvl="8" w:tplc="04100005" w:tentative="1">
      <w:start w:val="1"/>
      <w:numFmt w:val="bullet"/>
      <w:lvlText w:val=""/>
      <w:lvlJc w:val="left"/>
      <w:pPr>
        <w:ind w:left="6298" w:hanging="360"/>
      </w:pPr>
      <w:rPr>
        <w:rFonts w:ascii="Wingdings" w:hAnsi="Wingdings" w:hint="default"/>
      </w:rPr>
    </w:lvl>
  </w:abstractNum>
  <w:abstractNum w:abstractNumId="26" w15:restartNumberingAfterBreak="0">
    <w:nsid w:val="50994B38"/>
    <w:multiLevelType w:val="hybridMultilevel"/>
    <w:tmpl w:val="53F8BA64"/>
    <w:lvl w:ilvl="0" w:tplc="39447844">
      <w:start w:val="1"/>
      <w:numFmt w:val="decimal"/>
      <w:lvlText w:val="%1)"/>
      <w:lvlJc w:val="left"/>
      <w:pPr>
        <w:ind w:left="1071" w:hanging="360"/>
      </w:pPr>
      <w:rPr>
        <w:rFonts w:hint="default"/>
      </w:rPr>
    </w:lvl>
    <w:lvl w:ilvl="1" w:tplc="04100019" w:tentative="1">
      <w:start w:val="1"/>
      <w:numFmt w:val="lowerLetter"/>
      <w:lvlText w:val="%2."/>
      <w:lvlJc w:val="left"/>
      <w:pPr>
        <w:ind w:left="1791" w:hanging="360"/>
      </w:pPr>
    </w:lvl>
    <w:lvl w:ilvl="2" w:tplc="0410001B" w:tentative="1">
      <w:start w:val="1"/>
      <w:numFmt w:val="lowerRoman"/>
      <w:lvlText w:val="%3."/>
      <w:lvlJc w:val="right"/>
      <w:pPr>
        <w:ind w:left="2511" w:hanging="180"/>
      </w:pPr>
    </w:lvl>
    <w:lvl w:ilvl="3" w:tplc="0410000F" w:tentative="1">
      <w:start w:val="1"/>
      <w:numFmt w:val="decimal"/>
      <w:lvlText w:val="%4."/>
      <w:lvlJc w:val="left"/>
      <w:pPr>
        <w:ind w:left="3231" w:hanging="360"/>
      </w:pPr>
    </w:lvl>
    <w:lvl w:ilvl="4" w:tplc="04100019" w:tentative="1">
      <w:start w:val="1"/>
      <w:numFmt w:val="lowerLetter"/>
      <w:lvlText w:val="%5."/>
      <w:lvlJc w:val="left"/>
      <w:pPr>
        <w:ind w:left="3951" w:hanging="360"/>
      </w:pPr>
    </w:lvl>
    <w:lvl w:ilvl="5" w:tplc="0410001B" w:tentative="1">
      <w:start w:val="1"/>
      <w:numFmt w:val="lowerRoman"/>
      <w:lvlText w:val="%6."/>
      <w:lvlJc w:val="right"/>
      <w:pPr>
        <w:ind w:left="4671" w:hanging="180"/>
      </w:pPr>
    </w:lvl>
    <w:lvl w:ilvl="6" w:tplc="0410000F" w:tentative="1">
      <w:start w:val="1"/>
      <w:numFmt w:val="decimal"/>
      <w:lvlText w:val="%7."/>
      <w:lvlJc w:val="left"/>
      <w:pPr>
        <w:ind w:left="5391" w:hanging="360"/>
      </w:pPr>
    </w:lvl>
    <w:lvl w:ilvl="7" w:tplc="04100019" w:tentative="1">
      <w:start w:val="1"/>
      <w:numFmt w:val="lowerLetter"/>
      <w:lvlText w:val="%8."/>
      <w:lvlJc w:val="left"/>
      <w:pPr>
        <w:ind w:left="6111" w:hanging="360"/>
      </w:pPr>
    </w:lvl>
    <w:lvl w:ilvl="8" w:tplc="0410001B" w:tentative="1">
      <w:start w:val="1"/>
      <w:numFmt w:val="lowerRoman"/>
      <w:lvlText w:val="%9."/>
      <w:lvlJc w:val="right"/>
      <w:pPr>
        <w:ind w:left="6831" w:hanging="180"/>
      </w:pPr>
    </w:lvl>
  </w:abstractNum>
  <w:abstractNum w:abstractNumId="27" w15:restartNumberingAfterBreak="0">
    <w:nsid w:val="51FF750A"/>
    <w:multiLevelType w:val="hybridMultilevel"/>
    <w:tmpl w:val="BA282A1E"/>
    <w:lvl w:ilvl="0" w:tplc="2F96D7F6">
      <w:numFmt w:val="bullet"/>
      <w:lvlText w:val=""/>
      <w:lvlJc w:val="left"/>
      <w:pPr>
        <w:ind w:left="140" w:hanging="675"/>
      </w:pPr>
      <w:rPr>
        <w:rFonts w:ascii="Wingdings" w:eastAsia="Wingdings" w:hAnsi="Wingdings" w:cs="Wingdings" w:hint="default"/>
        <w:w w:val="100"/>
        <w:sz w:val="21"/>
        <w:szCs w:val="21"/>
        <w:lang w:val="it-IT" w:eastAsia="it-IT" w:bidi="it-IT"/>
      </w:rPr>
    </w:lvl>
    <w:lvl w:ilvl="1" w:tplc="8658848C">
      <w:numFmt w:val="bullet"/>
      <w:lvlText w:val="•"/>
      <w:lvlJc w:val="left"/>
      <w:pPr>
        <w:ind w:left="295" w:hanging="675"/>
      </w:pPr>
      <w:rPr>
        <w:rFonts w:hint="default"/>
        <w:lang w:val="it-IT" w:eastAsia="it-IT" w:bidi="it-IT"/>
      </w:rPr>
    </w:lvl>
    <w:lvl w:ilvl="2" w:tplc="8200D8D6">
      <w:numFmt w:val="bullet"/>
      <w:lvlText w:val="•"/>
      <w:lvlJc w:val="left"/>
      <w:pPr>
        <w:ind w:left="450" w:hanging="675"/>
      </w:pPr>
      <w:rPr>
        <w:rFonts w:hint="default"/>
        <w:lang w:val="it-IT" w:eastAsia="it-IT" w:bidi="it-IT"/>
      </w:rPr>
    </w:lvl>
    <w:lvl w:ilvl="3" w:tplc="0CD49F0E">
      <w:numFmt w:val="bullet"/>
      <w:lvlText w:val="•"/>
      <w:lvlJc w:val="left"/>
      <w:pPr>
        <w:ind w:left="605" w:hanging="675"/>
      </w:pPr>
      <w:rPr>
        <w:rFonts w:hint="default"/>
        <w:lang w:val="it-IT" w:eastAsia="it-IT" w:bidi="it-IT"/>
      </w:rPr>
    </w:lvl>
    <w:lvl w:ilvl="4" w:tplc="7E7CC7BE">
      <w:numFmt w:val="bullet"/>
      <w:lvlText w:val="•"/>
      <w:lvlJc w:val="left"/>
      <w:pPr>
        <w:ind w:left="760" w:hanging="675"/>
      </w:pPr>
      <w:rPr>
        <w:rFonts w:hint="default"/>
        <w:lang w:val="it-IT" w:eastAsia="it-IT" w:bidi="it-IT"/>
      </w:rPr>
    </w:lvl>
    <w:lvl w:ilvl="5" w:tplc="81586E78">
      <w:numFmt w:val="bullet"/>
      <w:lvlText w:val="•"/>
      <w:lvlJc w:val="left"/>
      <w:pPr>
        <w:ind w:left="916" w:hanging="675"/>
      </w:pPr>
      <w:rPr>
        <w:rFonts w:hint="default"/>
        <w:lang w:val="it-IT" w:eastAsia="it-IT" w:bidi="it-IT"/>
      </w:rPr>
    </w:lvl>
    <w:lvl w:ilvl="6" w:tplc="733AFBA0">
      <w:numFmt w:val="bullet"/>
      <w:lvlText w:val="•"/>
      <w:lvlJc w:val="left"/>
      <w:pPr>
        <w:ind w:left="1071" w:hanging="675"/>
      </w:pPr>
      <w:rPr>
        <w:rFonts w:hint="default"/>
        <w:lang w:val="it-IT" w:eastAsia="it-IT" w:bidi="it-IT"/>
      </w:rPr>
    </w:lvl>
    <w:lvl w:ilvl="7" w:tplc="D7E03942">
      <w:numFmt w:val="bullet"/>
      <w:lvlText w:val="•"/>
      <w:lvlJc w:val="left"/>
      <w:pPr>
        <w:ind w:left="1226" w:hanging="675"/>
      </w:pPr>
      <w:rPr>
        <w:rFonts w:hint="default"/>
        <w:lang w:val="it-IT" w:eastAsia="it-IT" w:bidi="it-IT"/>
      </w:rPr>
    </w:lvl>
    <w:lvl w:ilvl="8" w:tplc="F4A899CA">
      <w:numFmt w:val="bullet"/>
      <w:lvlText w:val="•"/>
      <w:lvlJc w:val="left"/>
      <w:pPr>
        <w:ind w:left="1381" w:hanging="675"/>
      </w:pPr>
      <w:rPr>
        <w:rFonts w:hint="default"/>
        <w:lang w:val="it-IT" w:eastAsia="it-IT" w:bidi="it-IT"/>
      </w:rPr>
    </w:lvl>
  </w:abstractNum>
  <w:abstractNum w:abstractNumId="28" w15:restartNumberingAfterBreak="0">
    <w:nsid w:val="56A36AB9"/>
    <w:multiLevelType w:val="hybridMultilevel"/>
    <w:tmpl w:val="F7E80364"/>
    <w:lvl w:ilvl="0" w:tplc="53D443F8">
      <w:start w:val="1"/>
      <w:numFmt w:val="decimal"/>
      <w:lvlText w:val="%1."/>
      <w:lvlJc w:val="left"/>
      <w:pPr>
        <w:ind w:left="501" w:hanging="360"/>
      </w:pPr>
      <w:rPr>
        <w:rFonts w:hint="default"/>
        <w:b w:val="0"/>
        <w:bCs w:val="0"/>
      </w:rPr>
    </w:lvl>
    <w:lvl w:ilvl="1" w:tplc="04100019" w:tentative="1">
      <w:start w:val="1"/>
      <w:numFmt w:val="lowerLetter"/>
      <w:lvlText w:val="%2."/>
      <w:lvlJc w:val="left"/>
      <w:pPr>
        <w:ind w:left="1221" w:hanging="360"/>
      </w:pPr>
    </w:lvl>
    <w:lvl w:ilvl="2" w:tplc="0410001B" w:tentative="1">
      <w:start w:val="1"/>
      <w:numFmt w:val="lowerRoman"/>
      <w:lvlText w:val="%3."/>
      <w:lvlJc w:val="right"/>
      <w:pPr>
        <w:ind w:left="1941" w:hanging="180"/>
      </w:pPr>
    </w:lvl>
    <w:lvl w:ilvl="3" w:tplc="0410000F" w:tentative="1">
      <w:start w:val="1"/>
      <w:numFmt w:val="decimal"/>
      <w:lvlText w:val="%4."/>
      <w:lvlJc w:val="left"/>
      <w:pPr>
        <w:ind w:left="2661" w:hanging="360"/>
      </w:pPr>
    </w:lvl>
    <w:lvl w:ilvl="4" w:tplc="04100019" w:tentative="1">
      <w:start w:val="1"/>
      <w:numFmt w:val="lowerLetter"/>
      <w:lvlText w:val="%5."/>
      <w:lvlJc w:val="left"/>
      <w:pPr>
        <w:ind w:left="3381" w:hanging="360"/>
      </w:pPr>
    </w:lvl>
    <w:lvl w:ilvl="5" w:tplc="0410001B" w:tentative="1">
      <w:start w:val="1"/>
      <w:numFmt w:val="lowerRoman"/>
      <w:lvlText w:val="%6."/>
      <w:lvlJc w:val="right"/>
      <w:pPr>
        <w:ind w:left="4101" w:hanging="180"/>
      </w:pPr>
    </w:lvl>
    <w:lvl w:ilvl="6" w:tplc="0410000F" w:tentative="1">
      <w:start w:val="1"/>
      <w:numFmt w:val="decimal"/>
      <w:lvlText w:val="%7."/>
      <w:lvlJc w:val="left"/>
      <w:pPr>
        <w:ind w:left="4821" w:hanging="360"/>
      </w:pPr>
    </w:lvl>
    <w:lvl w:ilvl="7" w:tplc="04100019" w:tentative="1">
      <w:start w:val="1"/>
      <w:numFmt w:val="lowerLetter"/>
      <w:lvlText w:val="%8."/>
      <w:lvlJc w:val="left"/>
      <w:pPr>
        <w:ind w:left="5541" w:hanging="360"/>
      </w:pPr>
    </w:lvl>
    <w:lvl w:ilvl="8" w:tplc="0410001B" w:tentative="1">
      <w:start w:val="1"/>
      <w:numFmt w:val="lowerRoman"/>
      <w:lvlText w:val="%9."/>
      <w:lvlJc w:val="right"/>
      <w:pPr>
        <w:ind w:left="6261" w:hanging="180"/>
      </w:pPr>
    </w:lvl>
  </w:abstractNum>
  <w:abstractNum w:abstractNumId="29" w15:restartNumberingAfterBreak="0">
    <w:nsid w:val="5A996ED0"/>
    <w:multiLevelType w:val="hybridMultilevel"/>
    <w:tmpl w:val="EAECF612"/>
    <w:lvl w:ilvl="0" w:tplc="BCA80734">
      <w:numFmt w:val="bullet"/>
      <w:lvlText w:val=""/>
      <w:lvlJc w:val="left"/>
      <w:pPr>
        <w:ind w:left="424" w:hanging="360"/>
      </w:pPr>
      <w:rPr>
        <w:rFonts w:ascii="Wingdings" w:eastAsia="Wingdings" w:hAnsi="Wingdings" w:cs="Wingdings" w:hint="default"/>
        <w:w w:val="100"/>
        <w:sz w:val="21"/>
        <w:szCs w:val="21"/>
        <w:lang w:val="it-IT" w:eastAsia="it-IT" w:bidi="it-IT"/>
      </w:rPr>
    </w:lvl>
    <w:lvl w:ilvl="1" w:tplc="9EEAFD0A">
      <w:numFmt w:val="bullet"/>
      <w:lvlText w:val="•"/>
      <w:lvlJc w:val="left"/>
      <w:pPr>
        <w:ind w:left="661" w:hanging="360"/>
      </w:pPr>
      <w:rPr>
        <w:rFonts w:hint="default"/>
        <w:lang w:val="it-IT" w:eastAsia="it-IT" w:bidi="it-IT"/>
      </w:rPr>
    </w:lvl>
    <w:lvl w:ilvl="2" w:tplc="F182CBB0">
      <w:numFmt w:val="bullet"/>
      <w:lvlText w:val="•"/>
      <w:lvlJc w:val="left"/>
      <w:pPr>
        <w:ind w:left="903" w:hanging="360"/>
      </w:pPr>
      <w:rPr>
        <w:rFonts w:hint="default"/>
        <w:lang w:val="it-IT" w:eastAsia="it-IT" w:bidi="it-IT"/>
      </w:rPr>
    </w:lvl>
    <w:lvl w:ilvl="3" w:tplc="991EB71E">
      <w:numFmt w:val="bullet"/>
      <w:lvlText w:val="•"/>
      <w:lvlJc w:val="left"/>
      <w:pPr>
        <w:ind w:left="1145" w:hanging="360"/>
      </w:pPr>
      <w:rPr>
        <w:rFonts w:hint="default"/>
        <w:lang w:val="it-IT" w:eastAsia="it-IT" w:bidi="it-IT"/>
      </w:rPr>
    </w:lvl>
    <w:lvl w:ilvl="4" w:tplc="700E3E1E">
      <w:numFmt w:val="bullet"/>
      <w:lvlText w:val="•"/>
      <w:lvlJc w:val="left"/>
      <w:pPr>
        <w:ind w:left="1386" w:hanging="360"/>
      </w:pPr>
      <w:rPr>
        <w:rFonts w:hint="default"/>
        <w:lang w:val="it-IT" w:eastAsia="it-IT" w:bidi="it-IT"/>
      </w:rPr>
    </w:lvl>
    <w:lvl w:ilvl="5" w:tplc="623E77A8">
      <w:numFmt w:val="bullet"/>
      <w:lvlText w:val="•"/>
      <w:lvlJc w:val="left"/>
      <w:pPr>
        <w:ind w:left="1628" w:hanging="360"/>
      </w:pPr>
      <w:rPr>
        <w:rFonts w:hint="default"/>
        <w:lang w:val="it-IT" w:eastAsia="it-IT" w:bidi="it-IT"/>
      </w:rPr>
    </w:lvl>
    <w:lvl w:ilvl="6" w:tplc="055CE4BA">
      <w:numFmt w:val="bullet"/>
      <w:lvlText w:val="•"/>
      <w:lvlJc w:val="left"/>
      <w:pPr>
        <w:ind w:left="1870" w:hanging="360"/>
      </w:pPr>
      <w:rPr>
        <w:rFonts w:hint="default"/>
        <w:lang w:val="it-IT" w:eastAsia="it-IT" w:bidi="it-IT"/>
      </w:rPr>
    </w:lvl>
    <w:lvl w:ilvl="7" w:tplc="763A0A60">
      <w:numFmt w:val="bullet"/>
      <w:lvlText w:val="•"/>
      <w:lvlJc w:val="left"/>
      <w:pPr>
        <w:ind w:left="2111" w:hanging="360"/>
      </w:pPr>
      <w:rPr>
        <w:rFonts w:hint="default"/>
        <w:lang w:val="it-IT" w:eastAsia="it-IT" w:bidi="it-IT"/>
      </w:rPr>
    </w:lvl>
    <w:lvl w:ilvl="8" w:tplc="759AFF04">
      <w:numFmt w:val="bullet"/>
      <w:lvlText w:val="•"/>
      <w:lvlJc w:val="left"/>
      <w:pPr>
        <w:ind w:left="2353" w:hanging="360"/>
      </w:pPr>
      <w:rPr>
        <w:rFonts w:hint="default"/>
        <w:lang w:val="it-IT" w:eastAsia="it-IT" w:bidi="it-IT"/>
      </w:rPr>
    </w:lvl>
  </w:abstractNum>
  <w:abstractNum w:abstractNumId="30" w15:restartNumberingAfterBreak="0">
    <w:nsid w:val="5B355758"/>
    <w:multiLevelType w:val="hybridMultilevel"/>
    <w:tmpl w:val="069617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D497814"/>
    <w:multiLevelType w:val="hybridMultilevel"/>
    <w:tmpl w:val="EF7053A8"/>
    <w:lvl w:ilvl="0" w:tplc="DB4EEDA4">
      <w:numFmt w:val="bullet"/>
      <w:lvlText w:val="−"/>
      <w:lvlJc w:val="left"/>
      <w:pPr>
        <w:ind w:left="812" w:hanging="294"/>
      </w:pPr>
      <w:rPr>
        <w:rFonts w:ascii="Verdana" w:eastAsia="Verdana" w:hAnsi="Verdana" w:cs="Verdana" w:hint="default"/>
        <w:w w:val="100"/>
        <w:sz w:val="21"/>
        <w:szCs w:val="21"/>
        <w:lang w:val="it-IT" w:eastAsia="it-IT" w:bidi="it-IT"/>
      </w:rPr>
    </w:lvl>
    <w:lvl w:ilvl="1" w:tplc="47C0DDEE">
      <w:numFmt w:val="bullet"/>
      <w:lvlText w:val="•"/>
      <w:lvlJc w:val="left"/>
      <w:pPr>
        <w:ind w:left="1864" w:hanging="294"/>
      </w:pPr>
      <w:rPr>
        <w:rFonts w:hint="default"/>
        <w:lang w:val="it-IT" w:eastAsia="it-IT" w:bidi="it-IT"/>
      </w:rPr>
    </w:lvl>
    <w:lvl w:ilvl="2" w:tplc="6E08AA5E">
      <w:numFmt w:val="bullet"/>
      <w:lvlText w:val="•"/>
      <w:lvlJc w:val="left"/>
      <w:pPr>
        <w:ind w:left="2909" w:hanging="294"/>
      </w:pPr>
      <w:rPr>
        <w:rFonts w:hint="default"/>
        <w:lang w:val="it-IT" w:eastAsia="it-IT" w:bidi="it-IT"/>
      </w:rPr>
    </w:lvl>
    <w:lvl w:ilvl="3" w:tplc="7B32C02E">
      <w:numFmt w:val="bullet"/>
      <w:lvlText w:val="•"/>
      <w:lvlJc w:val="left"/>
      <w:pPr>
        <w:ind w:left="3953" w:hanging="294"/>
      </w:pPr>
      <w:rPr>
        <w:rFonts w:hint="default"/>
        <w:lang w:val="it-IT" w:eastAsia="it-IT" w:bidi="it-IT"/>
      </w:rPr>
    </w:lvl>
    <w:lvl w:ilvl="4" w:tplc="327E986A">
      <w:numFmt w:val="bullet"/>
      <w:lvlText w:val="•"/>
      <w:lvlJc w:val="left"/>
      <w:pPr>
        <w:ind w:left="4998" w:hanging="294"/>
      </w:pPr>
      <w:rPr>
        <w:rFonts w:hint="default"/>
        <w:lang w:val="it-IT" w:eastAsia="it-IT" w:bidi="it-IT"/>
      </w:rPr>
    </w:lvl>
    <w:lvl w:ilvl="5" w:tplc="AC54A4A0">
      <w:numFmt w:val="bullet"/>
      <w:lvlText w:val="•"/>
      <w:lvlJc w:val="left"/>
      <w:pPr>
        <w:ind w:left="6043" w:hanging="294"/>
      </w:pPr>
      <w:rPr>
        <w:rFonts w:hint="default"/>
        <w:lang w:val="it-IT" w:eastAsia="it-IT" w:bidi="it-IT"/>
      </w:rPr>
    </w:lvl>
    <w:lvl w:ilvl="6" w:tplc="3600E7C8">
      <w:numFmt w:val="bullet"/>
      <w:lvlText w:val="•"/>
      <w:lvlJc w:val="left"/>
      <w:pPr>
        <w:ind w:left="7087" w:hanging="294"/>
      </w:pPr>
      <w:rPr>
        <w:rFonts w:hint="default"/>
        <w:lang w:val="it-IT" w:eastAsia="it-IT" w:bidi="it-IT"/>
      </w:rPr>
    </w:lvl>
    <w:lvl w:ilvl="7" w:tplc="834220E0">
      <w:numFmt w:val="bullet"/>
      <w:lvlText w:val="•"/>
      <w:lvlJc w:val="left"/>
      <w:pPr>
        <w:ind w:left="8132" w:hanging="294"/>
      </w:pPr>
      <w:rPr>
        <w:rFonts w:hint="default"/>
        <w:lang w:val="it-IT" w:eastAsia="it-IT" w:bidi="it-IT"/>
      </w:rPr>
    </w:lvl>
    <w:lvl w:ilvl="8" w:tplc="AB300106">
      <w:numFmt w:val="bullet"/>
      <w:lvlText w:val="•"/>
      <w:lvlJc w:val="left"/>
      <w:pPr>
        <w:ind w:left="9177" w:hanging="294"/>
      </w:pPr>
      <w:rPr>
        <w:rFonts w:hint="default"/>
        <w:lang w:val="it-IT" w:eastAsia="it-IT" w:bidi="it-IT"/>
      </w:rPr>
    </w:lvl>
  </w:abstractNum>
  <w:abstractNum w:abstractNumId="32" w15:restartNumberingAfterBreak="0">
    <w:nsid w:val="5D63790C"/>
    <w:multiLevelType w:val="hybridMultilevel"/>
    <w:tmpl w:val="03B81AD4"/>
    <w:lvl w:ilvl="0" w:tplc="85688984">
      <w:numFmt w:val="bullet"/>
      <w:lvlText w:val="-"/>
      <w:lvlJc w:val="left"/>
      <w:pPr>
        <w:ind w:left="720" w:hanging="360"/>
      </w:pPr>
      <w:rPr>
        <w:rFonts w:ascii="Arial Narrow" w:eastAsia="Arial Narrow" w:hAnsi="Arial Narrow" w:cs="Arial Narrow" w:hint="default"/>
        <w:w w:val="99"/>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0F739BC"/>
    <w:multiLevelType w:val="hybridMultilevel"/>
    <w:tmpl w:val="7C60098C"/>
    <w:lvl w:ilvl="0" w:tplc="56928C4A">
      <w:start w:val="1"/>
      <w:numFmt w:val="lowerRoman"/>
      <w:lvlText w:val="(%1)"/>
      <w:lvlJc w:val="left"/>
      <w:pPr>
        <w:ind w:left="1931" w:hanging="1080"/>
      </w:pPr>
      <w:rPr>
        <w:rFonts w:hint="default"/>
        <w:b w:val="0"/>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4" w15:restartNumberingAfterBreak="0">
    <w:nsid w:val="61217A40"/>
    <w:multiLevelType w:val="hybridMultilevel"/>
    <w:tmpl w:val="5F20CC3C"/>
    <w:lvl w:ilvl="0" w:tplc="4498FD44">
      <w:start w:val="5"/>
      <w:numFmt w:val="bullet"/>
      <w:lvlText w:val="-"/>
      <w:lvlJc w:val="left"/>
      <w:pPr>
        <w:ind w:left="1068" w:hanging="360"/>
      </w:pPr>
      <w:rPr>
        <w:rFonts w:ascii="Century Gothic" w:eastAsia="Times New Roman" w:hAnsi="Century Gothic" w:hint="default"/>
        <w:b/>
      </w:rPr>
    </w:lvl>
    <w:lvl w:ilvl="1" w:tplc="04100003" w:tentative="1">
      <w:start w:val="1"/>
      <w:numFmt w:val="bullet"/>
      <w:lvlText w:val="o"/>
      <w:lvlJc w:val="left"/>
      <w:pPr>
        <w:ind w:left="2300" w:hanging="360"/>
      </w:pPr>
      <w:rPr>
        <w:rFonts w:ascii="Courier New" w:hAnsi="Courier New" w:cs="Courier New" w:hint="default"/>
      </w:rPr>
    </w:lvl>
    <w:lvl w:ilvl="2" w:tplc="04100005" w:tentative="1">
      <w:start w:val="1"/>
      <w:numFmt w:val="bullet"/>
      <w:lvlText w:val=""/>
      <w:lvlJc w:val="left"/>
      <w:pPr>
        <w:ind w:left="3020" w:hanging="360"/>
      </w:pPr>
      <w:rPr>
        <w:rFonts w:ascii="Wingdings" w:hAnsi="Wingdings" w:hint="default"/>
      </w:rPr>
    </w:lvl>
    <w:lvl w:ilvl="3" w:tplc="04100001" w:tentative="1">
      <w:start w:val="1"/>
      <w:numFmt w:val="bullet"/>
      <w:lvlText w:val=""/>
      <w:lvlJc w:val="left"/>
      <w:pPr>
        <w:ind w:left="3740" w:hanging="360"/>
      </w:pPr>
      <w:rPr>
        <w:rFonts w:ascii="Symbol" w:hAnsi="Symbol" w:hint="default"/>
      </w:rPr>
    </w:lvl>
    <w:lvl w:ilvl="4" w:tplc="04100003" w:tentative="1">
      <w:start w:val="1"/>
      <w:numFmt w:val="bullet"/>
      <w:lvlText w:val="o"/>
      <w:lvlJc w:val="left"/>
      <w:pPr>
        <w:ind w:left="4460" w:hanging="360"/>
      </w:pPr>
      <w:rPr>
        <w:rFonts w:ascii="Courier New" w:hAnsi="Courier New" w:cs="Courier New" w:hint="default"/>
      </w:rPr>
    </w:lvl>
    <w:lvl w:ilvl="5" w:tplc="04100005" w:tentative="1">
      <w:start w:val="1"/>
      <w:numFmt w:val="bullet"/>
      <w:lvlText w:val=""/>
      <w:lvlJc w:val="left"/>
      <w:pPr>
        <w:ind w:left="5180" w:hanging="360"/>
      </w:pPr>
      <w:rPr>
        <w:rFonts w:ascii="Wingdings" w:hAnsi="Wingdings" w:hint="default"/>
      </w:rPr>
    </w:lvl>
    <w:lvl w:ilvl="6" w:tplc="04100001" w:tentative="1">
      <w:start w:val="1"/>
      <w:numFmt w:val="bullet"/>
      <w:lvlText w:val=""/>
      <w:lvlJc w:val="left"/>
      <w:pPr>
        <w:ind w:left="5900" w:hanging="360"/>
      </w:pPr>
      <w:rPr>
        <w:rFonts w:ascii="Symbol" w:hAnsi="Symbol" w:hint="default"/>
      </w:rPr>
    </w:lvl>
    <w:lvl w:ilvl="7" w:tplc="04100003" w:tentative="1">
      <w:start w:val="1"/>
      <w:numFmt w:val="bullet"/>
      <w:lvlText w:val="o"/>
      <w:lvlJc w:val="left"/>
      <w:pPr>
        <w:ind w:left="6620" w:hanging="360"/>
      </w:pPr>
      <w:rPr>
        <w:rFonts w:ascii="Courier New" w:hAnsi="Courier New" w:cs="Courier New" w:hint="default"/>
      </w:rPr>
    </w:lvl>
    <w:lvl w:ilvl="8" w:tplc="04100005" w:tentative="1">
      <w:start w:val="1"/>
      <w:numFmt w:val="bullet"/>
      <w:lvlText w:val=""/>
      <w:lvlJc w:val="left"/>
      <w:pPr>
        <w:ind w:left="7340" w:hanging="360"/>
      </w:pPr>
      <w:rPr>
        <w:rFonts w:ascii="Wingdings" w:hAnsi="Wingdings" w:hint="default"/>
      </w:rPr>
    </w:lvl>
  </w:abstractNum>
  <w:abstractNum w:abstractNumId="35" w15:restartNumberingAfterBreak="0">
    <w:nsid w:val="64C65DB6"/>
    <w:multiLevelType w:val="hybridMultilevel"/>
    <w:tmpl w:val="CF8A6E7A"/>
    <w:lvl w:ilvl="0" w:tplc="D3CCEDF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5820863"/>
    <w:multiLevelType w:val="hybridMultilevel"/>
    <w:tmpl w:val="D21E450E"/>
    <w:lvl w:ilvl="0" w:tplc="5DC499F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15:restartNumberingAfterBreak="0">
    <w:nsid w:val="686243BA"/>
    <w:multiLevelType w:val="hybridMultilevel"/>
    <w:tmpl w:val="7ADA77CC"/>
    <w:lvl w:ilvl="0" w:tplc="4498FD44">
      <w:start w:val="5"/>
      <w:numFmt w:val="bullet"/>
      <w:lvlText w:val="-"/>
      <w:lvlJc w:val="left"/>
      <w:pPr>
        <w:ind w:left="720" w:hanging="360"/>
      </w:pPr>
      <w:rPr>
        <w:rFonts w:ascii="Century Gothic" w:eastAsia="Times New Roman" w:hAnsi="Century Gothic" w:hint="default"/>
        <w:b/>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69890452"/>
    <w:multiLevelType w:val="hybridMultilevel"/>
    <w:tmpl w:val="CF9E9E26"/>
    <w:lvl w:ilvl="0" w:tplc="BB148A08">
      <w:start w:val="1"/>
      <w:numFmt w:val="lowerRoman"/>
      <w:lvlText w:val="(%1)"/>
      <w:lvlJc w:val="left"/>
      <w:pPr>
        <w:ind w:left="720" w:hanging="360"/>
      </w:pPr>
      <w:rPr>
        <w:rFonts w:ascii="Calibri" w:eastAsia="Calibri" w:hAnsi="Calibri" w:cs="Calibri" w:hint="default"/>
        <w:color w:val="auto"/>
        <w:w w:val="99"/>
        <w:sz w:val="22"/>
        <w:szCs w:val="22"/>
      </w:rPr>
    </w:lvl>
    <w:lvl w:ilvl="1" w:tplc="91A01F82">
      <w:start w:val="1"/>
      <w:numFmt w:val="lowerRoman"/>
      <w:lvlText w:val="(%2)"/>
      <w:lvlJc w:val="left"/>
      <w:pPr>
        <w:ind w:left="1211"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9D71ECB"/>
    <w:multiLevelType w:val="hybridMultilevel"/>
    <w:tmpl w:val="22D0E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0E3142D"/>
    <w:multiLevelType w:val="hybridMultilevel"/>
    <w:tmpl w:val="7E4EE7E0"/>
    <w:lvl w:ilvl="0" w:tplc="FB5ED946">
      <w:numFmt w:val="bullet"/>
      <w:lvlText w:val=""/>
      <w:lvlJc w:val="left"/>
      <w:pPr>
        <w:ind w:left="722" w:hanging="361"/>
      </w:pPr>
      <w:rPr>
        <w:rFonts w:ascii="Wingdings" w:eastAsia="Wingdings" w:hAnsi="Wingdings" w:cs="Wingdings" w:hint="default"/>
        <w:w w:val="100"/>
        <w:sz w:val="21"/>
        <w:szCs w:val="21"/>
        <w:lang w:val="it-IT" w:eastAsia="it-IT" w:bidi="it-IT"/>
      </w:rPr>
    </w:lvl>
    <w:lvl w:ilvl="1" w:tplc="0BD8BE30">
      <w:numFmt w:val="bullet"/>
      <w:lvlText w:val="•"/>
      <w:lvlJc w:val="left"/>
      <w:pPr>
        <w:ind w:left="931" w:hanging="361"/>
      </w:pPr>
      <w:rPr>
        <w:rFonts w:hint="default"/>
        <w:lang w:val="it-IT" w:eastAsia="it-IT" w:bidi="it-IT"/>
      </w:rPr>
    </w:lvl>
    <w:lvl w:ilvl="2" w:tplc="B0AC3CFE">
      <w:numFmt w:val="bullet"/>
      <w:lvlText w:val="•"/>
      <w:lvlJc w:val="left"/>
      <w:pPr>
        <w:ind w:left="1143" w:hanging="361"/>
      </w:pPr>
      <w:rPr>
        <w:rFonts w:hint="default"/>
        <w:lang w:val="it-IT" w:eastAsia="it-IT" w:bidi="it-IT"/>
      </w:rPr>
    </w:lvl>
    <w:lvl w:ilvl="3" w:tplc="6E88BB38">
      <w:numFmt w:val="bullet"/>
      <w:lvlText w:val="•"/>
      <w:lvlJc w:val="left"/>
      <w:pPr>
        <w:ind w:left="1355" w:hanging="361"/>
      </w:pPr>
      <w:rPr>
        <w:rFonts w:hint="default"/>
        <w:lang w:val="it-IT" w:eastAsia="it-IT" w:bidi="it-IT"/>
      </w:rPr>
    </w:lvl>
    <w:lvl w:ilvl="4" w:tplc="F27291BC">
      <w:numFmt w:val="bullet"/>
      <w:lvlText w:val="•"/>
      <w:lvlJc w:val="left"/>
      <w:pPr>
        <w:ind w:left="1566" w:hanging="361"/>
      </w:pPr>
      <w:rPr>
        <w:rFonts w:hint="default"/>
        <w:lang w:val="it-IT" w:eastAsia="it-IT" w:bidi="it-IT"/>
      </w:rPr>
    </w:lvl>
    <w:lvl w:ilvl="5" w:tplc="85405CBE">
      <w:numFmt w:val="bullet"/>
      <w:lvlText w:val="•"/>
      <w:lvlJc w:val="left"/>
      <w:pPr>
        <w:ind w:left="1778" w:hanging="361"/>
      </w:pPr>
      <w:rPr>
        <w:rFonts w:hint="default"/>
        <w:lang w:val="it-IT" w:eastAsia="it-IT" w:bidi="it-IT"/>
      </w:rPr>
    </w:lvl>
    <w:lvl w:ilvl="6" w:tplc="46DA723E">
      <w:numFmt w:val="bullet"/>
      <w:lvlText w:val="•"/>
      <w:lvlJc w:val="left"/>
      <w:pPr>
        <w:ind w:left="1990" w:hanging="361"/>
      </w:pPr>
      <w:rPr>
        <w:rFonts w:hint="default"/>
        <w:lang w:val="it-IT" w:eastAsia="it-IT" w:bidi="it-IT"/>
      </w:rPr>
    </w:lvl>
    <w:lvl w:ilvl="7" w:tplc="4538D762">
      <w:numFmt w:val="bullet"/>
      <w:lvlText w:val="•"/>
      <w:lvlJc w:val="left"/>
      <w:pPr>
        <w:ind w:left="2201" w:hanging="361"/>
      </w:pPr>
      <w:rPr>
        <w:rFonts w:hint="default"/>
        <w:lang w:val="it-IT" w:eastAsia="it-IT" w:bidi="it-IT"/>
      </w:rPr>
    </w:lvl>
    <w:lvl w:ilvl="8" w:tplc="72721026">
      <w:numFmt w:val="bullet"/>
      <w:lvlText w:val="•"/>
      <w:lvlJc w:val="left"/>
      <w:pPr>
        <w:ind w:left="2413" w:hanging="361"/>
      </w:pPr>
      <w:rPr>
        <w:rFonts w:hint="default"/>
        <w:lang w:val="it-IT" w:eastAsia="it-IT" w:bidi="it-IT"/>
      </w:rPr>
    </w:lvl>
  </w:abstractNum>
  <w:abstractNum w:abstractNumId="41" w15:restartNumberingAfterBreak="0">
    <w:nsid w:val="7ABE1130"/>
    <w:multiLevelType w:val="hybridMultilevel"/>
    <w:tmpl w:val="59FEBA2C"/>
    <w:lvl w:ilvl="0" w:tplc="85688984">
      <w:numFmt w:val="bullet"/>
      <w:lvlText w:val="-"/>
      <w:lvlJc w:val="left"/>
      <w:pPr>
        <w:ind w:left="676" w:hanging="358"/>
      </w:pPr>
      <w:rPr>
        <w:rFonts w:ascii="Arial Narrow" w:eastAsia="Arial Narrow" w:hAnsi="Arial Narrow" w:cs="Arial Narrow" w:hint="default"/>
        <w:color w:val="auto"/>
        <w:w w:val="99"/>
        <w:sz w:val="24"/>
        <w:szCs w:val="24"/>
      </w:rPr>
    </w:lvl>
    <w:lvl w:ilvl="1" w:tplc="33B2B996">
      <w:numFmt w:val="bullet"/>
      <w:lvlText w:val="-"/>
      <w:lvlJc w:val="left"/>
      <w:pPr>
        <w:ind w:left="1032" w:hanging="358"/>
      </w:pPr>
      <w:rPr>
        <w:rFonts w:ascii="Times New Roman" w:eastAsia="Times New Roman" w:hAnsi="Times New Roman" w:cs="Times New Roman" w:hint="default"/>
        <w:spacing w:val="-1"/>
        <w:w w:val="99"/>
        <w:sz w:val="24"/>
        <w:szCs w:val="24"/>
      </w:rPr>
    </w:lvl>
    <w:lvl w:ilvl="2" w:tplc="5ECE9C20">
      <w:numFmt w:val="bullet"/>
      <w:lvlText w:val="•"/>
      <w:lvlJc w:val="left"/>
      <w:pPr>
        <w:ind w:left="2004" w:hanging="358"/>
      </w:pPr>
      <w:rPr>
        <w:rFonts w:hint="default"/>
      </w:rPr>
    </w:lvl>
    <w:lvl w:ilvl="3" w:tplc="292C05E0">
      <w:numFmt w:val="bullet"/>
      <w:lvlText w:val="•"/>
      <w:lvlJc w:val="left"/>
      <w:pPr>
        <w:ind w:left="2969" w:hanging="358"/>
      </w:pPr>
      <w:rPr>
        <w:rFonts w:hint="default"/>
      </w:rPr>
    </w:lvl>
    <w:lvl w:ilvl="4" w:tplc="9C308910">
      <w:numFmt w:val="bullet"/>
      <w:lvlText w:val="•"/>
      <w:lvlJc w:val="left"/>
      <w:pPr>
        <w:ind w:left="3934" w:hanging="358"/>
      </w:pPr>
      <w:rPr>
        <w:rFonts w:hint="default"/>
      </w:rPr>
    </w:lvl>
    <w:lvl w:ilvl="5" w:tplc="9094E280">
      <w:numFmt w:val="bullet"/>
      <w:lvlText w:val="•"/>
      <w:lvlJc w:val="left"/>
      <w:pPr>
        <w:ind w:left="4899" w:hanging="358"/>
      </w:pPr>
      <w:rPr>
        <w:rFonts w:hint="default"/>
      </w:rPr>
    </w:lvl>
    <w:lvl w:ilvl="6" w:tplc="D6284CF0">
      <w:numFmt w:val="bullet"/>
      <w:lvlText w:val="•"/>
      <w:lvlJc w:val="left"/>
      <w:pPr>
        <w:ind w:left="5864" w:hanging="358"/>
      </w:pPr>
      <w:rPr>
        <w:rFonts w:hint="default"/>
      </w:rPr>
    </w:lvl>
    <w:lvl w:ilvl="7" w:tplc="14462920">
      <w:numFmt w:val="bullet"/>
      <w:lvlText w:val="•"/>
      <w:lvlJc w:val="left"/>
      <w:pPr>
        <w:ind w:left="6829" w:hanging="358"/>
      </w:pPr>
      <w:rPr>
        <w:rFonts w:hint="default"/>
      </w:rPr>
    </w:lvl>
    <w:lvl w:ilvl="8" w:tplc="04F6CF88">
      <w:numFmt w:val="bullet"/>
      <w:lvlText w:val="•"/>
      <w:lvlJc w:val="left"/>
      <w:pPr>
        <w:ind w:left="7794" w:hanging="358"/>
      </w:pPr>
      <w:rPr>
        <w:rFonts w:hint="default"/>
      </w:rPr>
    </w:lvl>
  </w:abstractNum>
  <w:abstractNum w:abstractNumId="42" w15:restartNumberingAfterBreak="0">
    <w:nsid w:val="7B94387A"/>
    <w:multiLevelType w:val="hybridMultilevel"/>
    <w:tmpl w:val="E744ACEA"/>
    <w:lvl w:ilvl="0" w:tplc="D0EC9A38">
      <w:start w:val="1"/>
      <w:numFmt w:val="lowerLetter"/>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num w:numId="1" w16cid:durableId="1891572978">
    <w:abstractNumId w:val="31"/>
  </w:num>
  <w:num w:numId="2" w16cid:durableId="1146094900">
    <w:abstractNumId w:val="29"/>
  </w:num>
  <w:num w:numId="3" w16cid:durableId="549463671">
    <w:abstractNumId w:val="40"/>
  </w:num>
  <w:num w:numId="4" w16cid:durableId="677511461">
    <w:abstractNumId w:val="0"/>
  </w:num>
  <w:num w:numId="5" w16cid:durableId="1675455458">
    <w:abstractNumId w:val="27"/>
  </w:num>
  <w:num w:numId="6" w16cid:durableId="627976820">
    <w:abstractNumId w:val="14"/>
  </w:num>
  <w:num w:numId="7" w16cid:durableId="438916348">
    <w:abstractNumId w:val="9"/>
  </w:num>
  <w:num w:numId="8" w16cid:durableId="885990748">
    <w:abstractNumId w:val="2"/>
  </w:num>
  <w:num w:numId="9" w16cid:durableId="2069496300">
    <w:abstractNumId w:val="37"/>
  </w:num>
  <w:num w:numId="10" w16cid:durableId="266960361">
    <w:abstractNumId w:val="35"/>
  </w:num>
  <w:num w:numId="11" w16cid:durableId="305818376">
    <w:abstractNumId w:val="42"/>
  </w:num>
  <w:num w:numId="12" w16cid:durableId="407655977">
    <w:abstractNumId w:val="4"/>
  </w:num>
  <w:num w:numId="13" w16cid:durableId="100537796">
    <w:abstractNumId w:val="24"/>
  </w:num>
  <w:num w:numId="14" w16cid:durableId="1009718351">
    <w:abstractNumId w:val="30"/>
  </w:num>
  <w:num w:numId="15" w16cid:durableId="404960256">
    <w:abstractNumId w:val="13"/>
  </w:num>
  <w:num w:numId="16" w16cid:durableId="168257293">
    <w:abstractNumId w:val="20"/>
  </w:num>
  <w:num w:numId="17" w16cid:durableId="525337836">
    <w:abstractNumId w:val="17"/>
  </w:num>
  <w:num w:numId="18" w16cid:durableId="1512527484">
    <w:abstractNumId w:val="23"/>
  </w:num>
  <w:num w:numId="19" w16cid:durableId="592512992">
    <w:abstractNumId w:val="12"/>
  </w:num>
  <w:num w:numId="20" w16cid:durableId="268202381">
    <w:abstractNumId w:val="34"/>
  </w:num>
  <w:num w:numId="21" w16cid:durableId="910844031">
    <w:abstractNumId w:val="36"/>
  </w:num>
  <w:num w:numId="22" w16cid:durableId="808714290">
    <w:abstractNumId w:val="21"/>
  </w:num>
  <w:num w:numId="23" w16cid:durableId="260333027">
    <w:abstractNumId w:val="26"/>
  </w:num>
  <w:num w:numId="24" w16cid:durableId="1596017457">
    <w:abstractNumId w:val="18"/>
  </w:num>
  <w:num w:numId="25" w16cid:durableId="5717820">
    <w:abstractNumId w:val="25"/>
  </w:num>
  <w:num w:numId="26" w16cid:durableId="1643735414">
    <w:abstractNumId w:val="41"/>
  </w:num>
  <w:num w:numId="27" w16cid:durableId="1327170743">
    <w:abstractNumId w:val="22"/>
  </w:num>
  <w:num w:numId="28" w16cid:durableId="463816797">
    <w:abstractNumId w:val="39"/>
  </w:num>
  <w:num w:numId="29" w16cid:durableId="610015114">
    <w:abstractNumId w:val="10"/>
  </w:num>
  <w:num w:numId="30" w16cid:durableId="1095202442">
    <w:abstractNumId w:val="32"/>
  </w:num>
  <w:num w:numId="31" w16cid:durableId="1135874275">
    <w:abstractNumId w:val="38"/>
  </w:num>
  <w:num w:numId="32" w16cid:durableId="1474057863">
    <w:abstractNumId w:val="33"/>
  </w:num>
  <w:num w:numId="33" w16cid:durableId="66388103">
    <w:abstractNumId w:val="28"/>
  </w:num>
  <w:num w:numId="34" w16cid:durableId="245040939">
    <w:abstractNumId w:val="11"/>
  </w:num>
  <w:num w:numId="35" w16cid:durableId="960918568">
    <w:abstractNumId w:val="7"/>
  </w:num>
  <w:num w:numId="36" w16cid:durableId="117379928">
    <w:abstractNumId w:val="15"/>
  </w:num>
  <w:num w:numId="37" w16cid:durableId="228228063">
    <w:abstractNumId w:val="8"/>
  </w:num>
  <w:num w:numId="38" w16cid:durableId="907039500">
    <w:abstractNumId w:val="5"/>
  </w:num>
  <w:num w:numId="39" w16cid:durableId="268395381">
    <w:abstractNumId w:val="1"/>
  </w:num>
  <w:num w:numId="40" w16cid:durableId="1918175617">
    <w:abstractNumId w:val="19"/>
  </w:num>
  <w:num w:numId="41" w16cid:durableId="425619074">
    <w:abstractNumId w:val="6"/>
  </w:num>
  <w:num w:numId="42" w16cid:durableId="1077900872">
    <w:abstractNumId w:val="16"/>
  </w:num>
  <w:num w:numId="43" w16cid:durableId="2135513485">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6"/>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066"/>
    <w:rsid w:val="0000704F"/>
    <w:rsid w:val="0000789C"/>
    <w:rsid w:val="00011581"/>
    <w:rsid w:val="00023796"/>
    <w:rsid w:val="000271E1"/>
    <w:rsid w:val="0004499A"/>
    <w:rsid w:val="00053919"/>
    <w:rsid w:val="000747FE"/>
    <w:rsid w:val="00084323"/>
    <w:rsid w:val="00090A2C"/>
    <w:rsid w:val="00093387"/>
    <w:rsid w:val="00097653"/>
    <w:rsid w:val="000C31A5"/>
    <w:rsid w:val="000D4CC3"/>
    <w:rsid w:val="000F3D23"/>
    <w:rsid w:val="00125B3D"/>
    <w:rsid w:val="00130D14"/>
    <w:rsid w:val="00132146"/>
    <w:rsid w:val="00150D9F"/>
    <w:rsid w:val="00170153"/>
    <w:rsid w:val="00171131"/>
    <w:rsid w:val="00196389"/>
    <w:rsid w:val="00196E05"/>
    <w:rsid w:val="001A52E9"/>
    <w:rsid w:val="001C4A66"/>
    <w:rsid w:val="001F0066"/>
    <w:rsid w:val="00201FBD"/>
    <w:rsid w:val="002034D7"/>
    <w:rsid w:val="00206BF7"/>
    <w:rsid w:val="00206FEB"/>
    <w:rsid w:val="00215713"/>
    <w:rsid w:val="00226614"/>
    <w:rsid w:val="0024321D"/>
    <w:rsid w:val="00250CAD"/>
    <w:rsid w:val="00252624"/>
    <w:rsid w:val="002627F4"/>
    <w:rsid w:val="00263D93"/>
    <w:rsid w:val="0026513D"/>
    <w:rsid w:val="00267DD3"/>
    <w:rsid w:val="00277AAE"/>
    <w:rsid w:val="00287DB8"/>
    <w:rsid w:val="002C73BF"/>
    <w:rsid w:val="002E1F5D"/>
    <w:rsid w:val="002E791A"/>
    <w:rsid w:val="002F2DA9"/>
    <w:rsid w:val="002F5D80"/>
    <w:rsid w:val="00300853"/>
    <w:rsid w:val="0032165A"/>
    <w:rsid w:val="00324ED3"/>
    <w:rsid w:val="00334ECA"/>
    <w:rsid w:val="0035544E"/>
    <w:rsid w:val="00397BB5"/>
    <w:rsid w:val="003A2657"/>
    <w:rsid w:val="003C488D"/>
    <w:rsid w:val="00431D3D"/>
    <w:rsid w:val="00442078"/>
    <w:rsid w:val="00444A55"/>
    <w:rsid w:val="00447816"/>
    <w:rsid w:val="0045424D"/>
    <w:rsid w:val="00462C66"/>
    <w:rsid w:val="0047595E"/>
    <w:rsid w:val="00495236"/>
    <w:rsid w:val="004A30AF"/>
    <w:rsid w:val="004A315A"/>
    <w:rsid w:val="004A6456"/>
    <w:rsid w:val="004C08CD"/>
    <w:rsid w:val="004C1BC9"/>
    <w:rsid w:val="004C744A"/>
    <w:rsid w:val="004D18F9"/>
    <w:rsid w:val="004E0D72"/>
    <w:rsid w:val="005145F0"/>
    <w:rsid w:val="00544DB5"/>
    <w:rsid w:val="00547E0D"/>
    <w:rsid w:val="00560494"/>
    <w:rsid w:val="00564437"/>
    <w:rsid w:val="005726B8"/>
    <w:rsid w:val="00582994"/>
    <w:rsid w:val="005B211F"/>
    <w:rsid w:val="005C366C"/>
    <w:rsid w:val="005C7454"/>
    <w:rsid w:val="005E2351"/>
    <w:rsid w:val="005F37C7"/>
    <w:rsid w:val="00603141"/>
    <w:rsid w:val="00607A1C"/>
    <w:rsid w:val="006131E7"/>
    <w:rsid w:val="00623BE7"/>
    <w:rsid w:val="00645195"/>
    <w:rsid w:val="006460DB"/>
    <w:rsid w:val="00646818"/>
    <w:rsid w:val="00651949"/>
    <w:rsid w:val="00664733"/>
    <w:rsid w:val="00671649"/>
    <w:rsid w:val="00681914"/>
    <w:rsid w:val="00690190"/>
    <w:rsid w:val="00697C4F"/>
    <w:rsid w:val="006B3CC9"/>
    <w:rsid w:val="006C088F"/>
    <w:rsid w:val="006C6404"/>
    <w:rsid w:val="006D3E00"/>
    <w:rsid w:val="006F34FB"/>
    <w:rsid w:val="007125B6"/>
    <w:rsid w:val="00713592"/>
    <w:rsid w:val="007346E8"/>
    <w:rsid w:val="00784872"/>
    <w:rsid w:val="0078795B"/>
    <w:rsid w:val="007C1F7C"/>
    <w:rsid w:val="007C78DE"/>
    <w:rsid w:val="007D78B9"/>
    <w:rsid w:val="0080056C"/>
    <w:rsid w:val="00800603"/>
    <w:rsid w:val="00821AB0"/>
    <w:rsid w:val="00834D83"/>
    <w:rsid w:val="00835414"/>
    <w:rsid w:val="00846CCF"/>
    <w:rsid w:val="00852507"/>
    <w:rsid w:val="00852B07"/>
    <w:rsid w:val="008843D3"/>
    <w:rsid w:val="008A46B8"/>
    <w:rsid w:val="008A4B01"/>
    <w:rsid w:val="008B001F"/>
    <w:rsid w:val="008C1935"/>
    <w:rsid w:val="008E7179"/>
    <w:rsid w:val="008F2CAF"/>
    <w:rsid w:val="009129B7"/>
    <w:rsid w:val="009224DD"/>
    <w:rsid w:val="009322DE"/>
    <w:rsid w:val="00936C3E"/>
    <w:rsid w:val="00961F20"/>
    <w:rsid w:val="00982389"/>
    <w:rsid w:val="009B5FBB"/>
    <w:rsid w:val="009D4000"/>
    <w:rsid w:val="009D542C"/>
    <w:rsid w:val="009E63C2"/>
    <w:rsid w:val="009F69D1"/>
    <w:rsid w:val="00A26C74"/>
    <w:rsid w:val="00A440FD"/>
    <w:rsid w:val="00A45BD7"/>
    <w:rsid w:val="00A50B4E"/>
    <w:rsid w:val="00A5366B"/>
    <w:rsid w:val="00A53ECD"/>
    <w:rsid w:val="00A56420"/>
    <w:rsid w:val="00A95E22"/>
    <w:rsid w:val="00AA763A"/>
    <w:rsid w:val="00AE6511"/>
    <w:rsid w:val="00B3371D"/>
    <w:rsid w:val="00B44FB1"/>
    <w:rsid w:val="00B45998"/>
    <w:rsid w:val="00B53BFB"/>
    <w:rsid w:val="00B55C86"/>
    <w:rsid w:val="00B77541"/>
    <w:rsid w:val="00B80DD8"/>
    <w:rsid w:val="00BA0BC6"/>
    <w:rsid w:val="00BB40F3"/>
    <w:rsid w:val="00BB7808"/>
    <w:rsid w:val="00BC42EA"/>
    <w:rsid w:val="00BE2277"/>
    <w:rsid w:val="00C22298"/>
    <w:rsid w:val="00C34F14"/>
    <w:rsid w:val="00C46433"/>
    <w:rsid w:val="00C5172C"/>
    <w:rsid w:val="00C7135B"/>
    <w:rsid w:val="00C7226E"/>
    <w:rsid w:val="00C7231E"/>
    <w:rsid w:val="00C83541"/>
    <w:rsid w:val="00CC0043"/>
    <w:rsid w:val="00CE0FA0"/>
    <w:rsid w:val="00CF0CC5"/>
    <w:rsid w:val="00D00217"/>
    <w:rsid w:val="00D158AC"/>
    <w:rsid w:val="00D20D59"/>
    <w:rsid w:val="00D25812"/>
    <w:rsid w:val="00D352E4"/>
    <w:rsid w:val="00D44F9E"/>
    <w:rsid w:val="00D506C9"/>
    <w:rsid w:val="00D5228E"/>
    <w:rsid w:val="00D60D63"/>
    <w:rsid w:val="00D622B6"/>
    <w:rsid w:val="00D641CA"/>
    <w:rsid w:val="00D70AAE"/>
    <w:rsid w:val="00D85672"/>
    <w:rsid w:val="00DB1193"/>
    <w:rsid w:val="00DD4A15"/>
    <w:rsid w:val="00DE5B12"/>
    <w:rsid w:val="00DE6B64"/>
    <w:rsid w:val="00DF4619"/>
    <w:rsid w:val="00E20A40"/>
    <w:rsid w:val="00E214F6"/>
    <w:rsid w:val="00E24316"/>
    <w:rsid w:val="00E30CC7"/>
    <w:rsid w:val="00E45A0F"/>
    <w:rsid w:val="00E613A8"/>
    <w:rsid w:val="00E66B3F"/>
    <w:rsid w:val="00E75524"/>
    <w:rsid w:val="00E91363"/>
    <w:rsid w:val="00EA37ED"/>
    <w:rsid w:val="00ED781B"/>
    <w:rsid w:val="00EE2012"/>
    <w:rsid w:val="00EE2415"/>
    <w:rsid w:val="00EF6A72"/>
    <w:rsid w:val="00F03C03"/>
    <w:rsid w:val="00F060FB"/>
    <w:rsid w:val="00F10721"/>
    <w:rsid w:val="00F230E4"/>
    <w:rsid w:val="00F70EC3"/>
    <w:rsid w:val="00F72258"/>
    <w:rsid w:val="00F91874"/>
    <w:rsid w:val="00F92502"/>
    <w:rsid w:val="00FA721D"/>
    <w:rsid w:val="00FB0F6B"/>
    <w:rsid w:val="00FC5C7F"/>
    <w:rsid w:val="00FC77F0"/>
    <w:rsid w:val="00FE1E4B"/>
    <w:rsid w:val="00FF4D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2C51E"/>
  <w15:docId w15:val="{12C7540F-442A-44EC-9A97-61857893F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A45BD7"/>
    <w:rPr>
      <w:rFonts w:ascii="Verdana" w:eastAsia="Verdana" w:hAnsi="Verdana" w:cs="Verdana"/>
      <w:lang w:val="it-IT" w:eastAsia="it-IT" w:bidi="it-IT"/>
    </w:rPr>
  </w:style>
  <w:style w:type="paragraph" w:styleId="Titolo1">
    <w:name w:val="heading 1"/>
    <w:basedOn w:val="Normale"/>
    <w:link w:val="Titolo1Carattere"/>
    <w:uiPriority w:val="1"/>
    <w:qFormat/>
    <w:pPr>
      <w:spacing w:before="1"/>
      <w:ind w:left="1113" w:hanging="301"/>
      <w:outlineLvl w:val="0"/>
    </w:pPr>
    <w:rPr>
      <w:b/>
      <w:bCs/>
      <w:sz w:val="21"/>
      <w:szCs w:val="21"/>
    </w:rPr>
  </w:style>
  <w:style w:type="paragraph" w:styleId="Titolo2">
    <w:name w:val="heading 2"/>
    <w:basedOn w:val="Normale"/>
    <w:next w:val="Normale"/>
    <w:link w:val="Titolo2Carattere1"/>
    <w:uiPriority w:val="9"/>
    <w:semiHidden/>
    <w:unhideWhenUsed/>
    <w:qFormat/>
    <w:rsid w:val="00834D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qFormat/>
    <w:rsid w:val="009129B7"/>
    <w:pPr>
      <w:keepNext/>
      <w:widowControl/>
      <w:autoSpaceDE/>
      <w:autoSpaceDN/>
      <w:outlineLvl w:val="2"/>
    </w:pPr>
    <w:rPr>
      <w:rFonts w:ascii="Times New Roman" w:eastAsia="Times New Roman" w:hAnsi="Times New Roman" w:cs="Times New Roman"/>
      <w:b/>
      <w:bCs/>
      <w:sz w:val="24"/>
      <w:szCs w:val="24"/>
      <w:u w:val="single"/>
      <w:lang w:bidi="ar-SA"/>
    </w:rPr>
  </w:style>
  <w:style w:type="paragraph" w:styleId="Titolo8">
    <w:name w:val="heading 8"/>
    <w:basedOn w:val="Normale"/>
    <w:next w:val="Normale"/>
    <w:link w:val="Titolo8Carattere"/>
    <w:semiHidden/>
    <w:unhideWhenUsed/>
    <w:qFormat/>
    <w:rsid w:val="009129B7"/>
    <w:pPr>
      <w:widowControl/>
      <w:autoSpaceDE/>
      <w:autoSpaceDN/>
      <w:spacing w:before="240" w:after="60" w:line="276" w:lineRule="auto"/>
      <w:outlineLvl w:val="7"/>
    </w:pPr>
    <w:rPr>
      <w:rFonts w:ascii="Calibri" w:eastAsia="Times New Roman" w:hAnsi="Calibri" w:cs="Times New Roman"/>
      <w:i/>
      <w:iCs/>
      <w:sz w:val="24"/>
      <w:szCs w:val="24"/>
      <w:lang w:eastAsia="en-US" w:bidi="ar-SA"/>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qFormat/>
    <w:rPr>
      <w:sz w:val="21"/>
      <w:szCs w:val="21"/>
    </w:rPr>
  </w:style>
  <w:style w:type="paragraph" w:styleId="Paragrafoelenco">
    <w:name w:val="List Paragraph"/>
    <w:basedOn w:val="Normale"/>
    <w:uiPriority w:val="1"/>
    <w:qFormat/>
    <w:pPr>
      <w:ind w:left="1533" w:hanging="360"/>
    </w:pPr>
  </w:style>
  <w:style w:type="paragraph" w:customStyle="1" w:styleId="TableParagraph">
    <w:name w:val="Table Paragraph"/>
    <w:basedOn w:val="Normale"/>
    <w:uiPriority w:val="1"/>
    <w:qFormat/>
  </w:style>
  <w:style w:type="paragraph" w:styleId="Testofumetto">
    <w:name w:val="Balloon Text"/>
    <w:basedOn w:val="Normale"/>
    <w:link w:val="TestofumettoCarattere"/>
    <w:unhideWhenUsed/>
    <w:rsid w:val="00EE2012"/>
    <w:rPr>
      <w:rFonts w:ascii="Tahoma" w:hAnsi="Tahoma" w:cs="Tahoma"/>
      <w:sz w:val="16"/>
      <w:szCs w:val="16"/>
    </w:rPr>
  </w:style>
  <w:style w:type="character" w:customStyle="1" w:styleId="TestofumettoCarattere">
    <w:name w:val="Testo fumetto Carattere"/>
    <w:basedOn w:val="Carpredefinitoparagrafo"/>
    <w:link w:val="Testofumetto"/>
    <w:rsid w:val="00EE2012"/>
    <w:rPr>
      <w:rFonts w:ascii="Tahoma" w:eastAsia="Verdana" w:hAnsi="Tahoma" w:cs="Tahoma"/>
      <w:sz w:val="16"/>
      <w:szCs w:val="16"/>
      <w:lang w:val="it-IT" w:eastAsia="it-IT" w:bidi="it-IT"/>
    </w:rPr>
  </w:style>
  <w:style w:type="paragraph" w:styleId="Intestazione">
    <w:name w:val="header"/>
    <w:basedOn w:val="Normale"/>
    <w:link w:val="IntestazioneCarattere"/>
    <w:unhideWhenUsed/>
    <w:rsid w:val="00EE2012"/>
    <w:pPr>
      <w:tabs>
        <w:tab w:val="center" w:pos="4819"/>
        <w:tab w:val="right" w:pos="9638"/>
      </w:tabs>
    </w:pPr>
  </w:style>
  <w:style w:type="character" w:customStyle="1" w:styleId="IntestazioneCarattere">
    <w:name w:val="Intestazione Carattere"/>
    <w:basedOn w:val="Carpredefinitoparagrafo"/>
    <w:link w:val="Intestazione"/>
    <w:rsid w:val="00EE2012"/>
    <w:rPr>
      <w:rFonts w:ascii="Verdana" w:eastAsia="Verdana" w:hAnsi="Verdana" w:cs="Verdana"/>
      <w:lang w:val="it-IT" w:eastAsia="it-IT" w:bidi="it-IT"/>
    </w:rPr>
  </w:style>
  <w:style w:type="paragraph" w:styleId="Pidipagina">
    <w:name w:val="footer"/>
    <w:basedOn w:val="Normale"/>
    <w:link w:val="PidipaginaCarattere"/>
    <w:unhideWhenUsed/>
    <w:rsid w:val="00EE2012"/>
    <w:pPr>
      <w:tabs>
        <w:tab w:val="center" w:pos="4819"/>
        <w:tab w:val="right" w:pos="9638"/>
      </w:tabs>
    </w:pPr>
  </w:style>
  <w:style w:type="character" w:customStyle="1" w:styleId="PidipaginaCarattere">
    <w:name w:val="Piè di pagina Carattere"/>
    <w:basedOn w:val="Carpredefinitoparagrafo"/>
    <w:link w:val="Pidipagina"/>
    <w:rsid w:val="00EE2012"/>
    <w:rPr>
      <w:rFonts w:ascii="Verdana" w:eastAsia="Verdana" w:hAnsi="Verdana" w:cs="Verdana"/>
      <w:lang w:val="it-IT" w:eastAsia="it-IT" w:bidi="it-IT"/>
    </w:rPr>
  </w:style>
  <w:style w:type="character" w:customStyle="1" w:styleId="CorpotestoCarattere">
    <w:name w:val="Corpo testo Carattere"/>
    <w:basedOn w:val="Carpredefinitoparagrafo"/>
    <w:link w:val="Corpotesto"/>
    <w:rsid w:val="00EE2012"/>
    <w:rPr>
      <w:rFonts w:ascii="Verdana" w:eastAsia="Verdana" w:hAnsi="Verdana" w:cs="Verdana"/>
      <w:sz w:val="21"/>
      <w:szCs w:val="21"/>
      <w:lang w:val="it-IT" w:eastAsia="it-IT" w:bidi="it-IT"/>
    </w:rPr>
  </w:style>
  <w:style w:type="table" w:styleId="Grigliatabella">
    <w:name w:val="Table Grid"/>
    <w:basedOn w:val="Tabellanormale"/>
    <w:uiPriority w:val="39"/>
    <w:rsid w:val="00EE2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0747FE"/>
    <w:rPr>
      <w:color w:val="0000FF" w:themeColor="hyperlink"/>
      <w:u w:val="single"/>
    </w:rPr>
  </w:style>
  <w:style w:type="character" w:customStyle="1" w:styleId="Titolo3Carattere">
    <w:name w:val="Titolo 3 Carattere"/>
    <w:basedOn w:val="Carpredefinitoparagrafo"/>
    <w:link w:val="Titolo3"/>
    <w:rsid w:val="009129B7"/>
    <w:rPr>
      <w:rFonts w:ascii="Times New Roman" w:eastAsia="Times New Roman" w:hAnsi="Times New Roman" w:cs="Times New Roman"/>
      <w:b/>
      <w:bCs/>
      <w:sz w:val="24"/>
      <w:szCs w:val="24"/>
      <w:u w:val="single"/>
      <w:lang w:val="it-IT" w:eastAsia="it-IT"/>
    </w:rPr>
  </w:style>
  <w:style w:type="character" w:customStyle="1" w:styleId="Titolo8Carattere">
    <w:name w:val="Titolo 8 Carattere"/>
    <w:basedOn w:val="Carpredefinitoparagrafo"/>
    <w:link w:val="Titolo8"/>
    <w:semiHidden/>
    <w:rsid w:val="009129B7"/>
    <w:rPr>
      <w:rFonts w:ascii="Calibri" w:eastAsia="Times New Roman" w:hAnsi="Calibri" w:cs="Times New Roman"/>
      <w:i/>
      <w:iCs/>
      <w:sz w:val="24"/>
      <w:szCs w:val="24"/>
      <w:lang w:val="it-IT"/>
    </w:rPr>
  </w:style>
  <w:style w:type="numbering" w:customStyle="1" w:styleId="Nessunelenco1">
    <w:name w:val="Nessun elenco1"/>
    <w:next w:val="Nessunelenco"/>
    <w:uiPriority w:val="99"/>
    <w:semiHidden/>
    <w:rsid w:val="009129B7"/>
  </w:style>
  <w:style w:type="paragraph" w:customStyle="1" w:styleId="Nessunaspaziatura1">
    <w:name w:val="Nessuna spaziatura1"/>
    <w:rsid w:val="009129B7"/>
    <w:pPr>
      <w:widowControl/>
      <w:autoSpaceDE/>
      <w:autoSpaceDN/>
    </w:pPr>
    <w:rPr>
      <w:rFonts w:ascii="Calibri" w:eastAsia="Times New Roman" w:hAnsi="Calibri" w:cs="Times New Roman"/>
      <w:lang w:val="it-IT"/>
    </w:rPr>
  </w:style>
  <w:style w:type="paragraph" w:styleId="Testonotaapidipagina">
    <w:name w:val="footnote text"/>
    <w:basedOn w:val="Normale"/>
    <w:link w:val="TestonotaapidipaginaCarattere"/>
    <w:semiHidden/>
    <w:rsid w:val="009129B7"/>
    <w:pPr>
      <w:widowControl/>
      <w:autoSpaceDE/>
      <w:autoSpaceDN/>
    </w:pPr>
    <w:rPr>
      <w:rFonts w:ascii="Calibri" w:eastAsia="Times New Roman" w:hAnsi="Calibri" w:cs="Times New Roman"/>
      <w:sz w:val="20"/>
      <w:szCs w:val="20"/>
      <w:lang w:eastAsia="en-US" w:bidi="ar-SA"/>
    </w:rPr>
  </w:style>
  <w:style w:type="character" w:customStyle="1" w:styleId="TestonotaapidipaginaCarattere">
    <w:name w:val="Testo nota a piè di pagina Carattere"/>
    <w:basedOn w:val="Carpredefinitoparagrafo"/>
    <w:link w:val="Testonotaapidipagina"/>
    <w:semiHidden/>
    <w:rsid w:val="009129B7"/>
    <w:rPr>
      <w:rFonts w:ascii="Calibri" w:eastAsia="Times New Roman" w:hAnsi="Calibri" w:cs="Times New Roman"/>
      <w:sz w:val="20"/>
      <w:szCs w:val="20"/>
      <w:lang w:val="it-IT"/>
    </w:rPr>
  </w:style>
  <w:style w:type="character" w:styleId="Rimandonotaapidipagina">
    <w:name w:val="footnote reference"/>
    <w:semiHidden/>
    <w:rsid w:val="009129B7"/>
    <w:rPr>
      <w:rFonts w:cs="Times New Roman"/>
      <w:vertAlign w:val="superscript"/>
    </w:rPr>
  </w:style>
  <w:style w:type="character" w:styleId="Rimandocommento">
    <w:name w:val="annotation reference"/>
    <w:semiHidden/>
    <w:rsid w:val="009129B7"/>
    <w:rPr>
      <w:rFonts w:cs="Times New Roman"/>
      <w:sz w:val="16"/>
      <w:szCs w:val="16"/>
    </w:rPr>
  </w:style>
  <w:style w:type="paragraph" w:styleId="Testocommento">
    <w:name w:val="annotation text"/>
    <w:basedOn w:val="Normale"/>
    <w:link w:val="TestocommentoCarattere"/>
    <w:semiHidden/>
    <w:rsid w:val="009129B7"/>
    <w:pPr>
      <w:widowControl/>
      <w:autoSpaceDE/>
      <w:autoSpaceDN/>
      <w:spacing w:after="200"/>
    </w:pPr>
    <w:rPr>
      <w:rFonts w:ascii="Calibri" w:eastAsia="Times New Roman" w:hAnsi="Calibri" w:cs="Times New Roman"/>
      <w:sz w:val="20"/>
      <w:szCs w:val="20"/>
      <w:lang w:eastAsia="en-US" w:bidi="ar-SA"/>
    </w:rPr>
  </w:style>
  <w:style w:type="character" w:customStyle="1" w:styleId="TestocommentoCarattere">
    <w:name w:val="Testo commento Carattere"/>
    <w:basedOn w:val="Carpredefinitoparagrafo"/>
    <w:link w:val="Testocommento"/>
    <w:semiHidden/>
    <w:rsid w:val="009129B7"/>
    <w:rPr>
      <w:rFonts w:ascii="Calibri" w:eastAsia="Times New Roman" w:hAnsi="Calibri" w:cs="Times New Roman"/>
      <w:sz w:val="20"/>
      <w:szCs w:val="20"/>
      <w:lang w:val="it-IT"/>
    </w:rPr>
  </w:style>
  <w:style w:type="character" w:customStyle="1" w:styleId="Titolo2Carattere">
    <w:name w:val="Titolo 2 Carattere"/>
    <w:rsid w:val="009129B7"/>
    <w:rPr>
      <w:rFonts w:ascii="Tahoma" w:hAnsi="Tahoma"/>
      <w:b/>
      <w:bCs/>
      <w:iCs/>
      <w:sz w:val="22"/>
      <w:szCs w:val="28"/>
    </w:rPr>
  </w:style>
  <w:style w:type="paragraph" w:styleId="Soggettocommento">
    <w:name w:val="annotation subject"/>
    <w:basedOn w:val="Testocommento"/>
    <w:next w:val="Testocommento"/>
    <w:link w:val="SoggettocommentoCarattere"/>
    <w:rsid w:val="009129B7"/>
    <w:pPr>
      <w:spacing w:line="276" w:lineRule="auto"/>
    </w:pPr>
    <w:rPr>
      <w:b/>
      <w:bCs/>
    </w:rPr>
  </w:style>
  <w:style w:type="character" w:customStyle="1" w:styleId="SoggettocommentoCarattere">
    <w:name w:val="Soggetto commento Carattere"/>
    <w:basedOn w:val="TestocommentoCarattere"/>
    <w:link w:val="Soggettocommento"/>
    <w:rsid w:val="009129B7"/>
    <w:rPr>
      <w:rFonts w:ascii="Calibri" w:eastAsia="Times New Roman" w:hAnsi="Calibri" w:cs="Times New Roman"/>
      <w:b/>
      <w:bCs/>
      <w:sz w:val="20"/>
      <w:szCs w:val="20"/>
      <w:lang w:val="it-IT"/>
    </w:rPr>
  </w:style>
  <w:style w:type="paragraph" w:customStyle="1" w:styleId="Default">
    <w:name w:val="Default"/>
    <w:rsid w:val="009129B7"/>
    <w:pPr>
      <w:widowControl/>
      <w:adjustRightInd w:val="0"/>
    </w:pPr>
    <w:rPr>
      <w:rFonts w:ascii="Bell MT" w:eastAsia="Times New Roman" w:hAnsi="Bell MT" w:cs="Bell MT"/>
      <w:color w:val="000000"/>
      <w:sz w:val="24"/>
      <w:szCs w:val="24"/>
      <w:lang w:val="it-IT" w:eastAsia="it-IT"/>
    </w:rPr>
  </w:style>
  <w:style w:type="paragraph" w:styleId="NormaleWeb">
    <w:name w:val="Normal (Web)"/>
    <w:basedOn w:val="Normale"/>
    <w:rsid w:val="009129B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nfasigrassetto">
    <w:name w:val="Strong"/>
    <w:qFormat/>
    <w:rsid w:val="009129B7"/>
    <w:rPr>
      <w:b/>
      <w:bCs/>
    </w:rPr>
  </w:style>
  <w:style w:type="character" w:styleId="Enfasicorsivo">
    <w:name w:val="Emphasis"/>
    <w:qFormat/>
    <w:rsid w:val="009129B7"/>
    <w:rPr>
      <w:i/>
      <w:iCs/>
    </w:rPr>
  </w:style>
  <w:style w:type="paragraph" w:styleId="Nessunaspaziatura">
    <w:name w:val="No Spacing"/>
    <w:uiPriority w:val="1"/>
    <w:qFormat/>
    <w:rsid w:val="009129B7"/>
    <w:pPr>
      <w:widowControl/>
      <w:autoSpaceDE/>
      <w:autoSpaceDN/>
    </w:pPr>
    <w:rPr>
      <w:rFonts w:ascii="Calibri" w:eastAsia="Times New Roman" w:hAnsi="Calibri" w:cs="Times New Roman"/>
      <w:lang w:val="it-IT"/>
    </w:rPr>
  </w:style>
  <w:style w:type="table" w:customStyle="1" w:styleId="Grigliatabella1">
    <w:name w:val="Griglia tabella1"/>
    <w:basedOn w:val="Tabellanormale"/>
    <w:next w:val="Grigliatabella"/>
    <w:rsid w:val="009129B7"/>
    <w:pPr>
      <w:widowControl/>
      <w:autoSpaceDE/>
      <w:autoSpaceDN/>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129B7"/>
    <w:rPr>
      <w:rFonts w:ascii="Calibri" w:eastAsia="Calibri" w:hAnsi="Calibri" w:cs="Times New Roman"/>
    </w:rPr>
    <w:tblPr>
      <w:tblInd w:w="0" w:type="dxa"/>
      <w:tblCellMar>
        <w:top w:w="0" w:type="dxa"/>
        <w:left w:w="0" w:type="dxa"/>
        <w:bottom w:w="0" w:type="dxa"/>
        <w:right w:w="0" w:type="dxa"/>
      </w:tblCellMar>
    </w:tblPr>
  </w:style>
  <w:style w:type="numbering" w:customStyle="1" w:styleId="Nessunelenco11">
    <w:name w:val="Nessun elenco11"/>
    <w:next w:val="Nessunelenco"/>
    <w:uiPriority w:val="99"/>
    <w:semiHidden/>
    <w:unhideWhenUsed/>
    <w:rsid w:val="009129B7"/>
  </w:style>
  <w:style w:type="paragraph" w:customStyle="1" w:styleId="Nessunaspaziatura2">
    <w:name w:val="Nessuna spaziatura2"/>
    <w:rsid w:val="00E24316"/>
    <w:pPr>
      <w:widowControl/>
      <w:autoSpaceDE/>
      <w:autoSpaceDN/>
    </w:pPr>
    <w:rPr>
      <w:rFonts w:ascii="Calibri" w:eastAsia="Times New Roman" w:hAnsi="Calibri" w:cs="Times New Roman"/>
      <w:lang w:val="it-IT"/>
    </w:rPr>
  </w:style>
  <w:style w:type="paragraph" w:styleId="Sommario1">
    <w:name w:val="toc 1"/>
    <w:basedOn w:val="Normale"/>
    <w:next w:val="Normale"/>
    <w:autoRedefine/>
    <w:uiPriority w:val="39"/>
    <w:rsid w:val="004A6456"/>
    <w:pPr>
      <w:widowControl/>
      <w:tabs>
        <w:tab w:val="left" w:pos="1701"/>
        <w:tab w:val="right" w:leader="dot" w:pos="10348"/>
      </w:tabs>
      <w:autoSpaceDE/>
      <w:autoSpaceDN/>
      <w:spacing w:line="276" w:lineRule="auto"/>
      <w:ind w:left="1691" w:right="922" w:hanging="840"/>
    </w:pPr>
    <w:rPr>
      <w:rFonts w:ascii="Calibri" w:eastAsia="Times New Roman" w:hAnsi="Calibri" w:cs="Times New Roman"/>
      <w:lang w:eastAsia="en-US" w:bidi="ar-SA"/>
    </w:rPr>
  </w:style>
  <w:style w:type="character" w:styleId="Collegamentovisitato">
    <w:name w:val="FollowedHyperlink"/>
    <w:basedOn w:val="Carpredefinitoparagrafo"/>
    <w:uiPriority w:val="99"/>
    <w:semiHidden/>
    <w:unhideWhenUsed/>
    <w:rsid w:val="00D158AC"/>
    <w:rPr>
      <w:color w:val="800080" w:themeColor="followedHyperlink"/>
      <w:u w:val="single"/>
    </w:rPr>
  </w:style>
  <w:style w:type="table" w:customStyle="1" w:styleId="TableNormal2">
    <w:name w:val="Table Normal2"/>
    <w:uiPriority w:val="2"/>
    <w:semiHidden/>
    <w:unhideWhenUsed/>
    <w:qFormat/>
    <w:rsid w:val="00171131"/>
    <w:tblPr>
      <w:tblInd w:w="0" w:type="dxa"/>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2E1F5D"/>
    <w:rPr>
      <w:color w:val="605E5C"/>
      <w:shd w:val="clear" w:color="auto" w:fill="E1DFDD"/>
    </w:rPr>
  </w:style>
  <w:style w:type="character" w:customStyle="1" w:styleId="Titolo2Carattere1">
    <w:name w:val="Titolo 2 Carattere1"/>
    <w:basedOn w:val="Carpredefinitoparagrafo"/>
    <w:link w:val="Titolo2"/>
    <w:uiPriority w:val="9"/>
    <w:semiHidden/>
    <w:rsid w:val="00834D83"/>
    <w:rPr>
      <w:rFonts w:asciiTheme="majorHAnsi" w:eastAsiaTheme="majorEastAsia" w:hAnsiTheme="majorHAnsi" w:cstheme="majorBidi"/>
      <w:color w:val="365F91" w:themeColor="accent1" w:themeShade="BF"/>
      <w:sz w:val="26"/>
      <w:szCs w:val="26"/>
      <w:lang w:val="it-IT" w:eastAsia="it-IT" w:bidi="it-IT"/>
    </w:rPr>
  </w:style>
  <w:style w:type="character" w:customStyle="1" w:styleId="Titolo1Carattere">
    <w:name w:val="Titolo 1 Carattere"/>
    <w:basedOn w:val="Carpredefinitoparagrafo"/>
    <w:link w:val="Titolo1"/>
    <w:uiPriority w:val="1"/>
    <w:rsid w:val="00C7135B"/>
    <w:rPr>
      <w:rFonts w:ascii="Verdana" w:eastAsia="Verdana" w:hAnsi="Verdana" w:cs="Verdana"/>
      <w:b/>
      <w:bCs/>
      <w:sz w:val="21"/>
      <w:szCs w:val="21"/>
      <w:lang w:val="it-IT" w:eastAsia="it-IT" w:bidi="it-IT"/>
    </w:rPr>
  </w:style>
  <w:style w:type="table" w:customStyle="1" w:styleId="TableNormal3">
    <w:name w:val="Table Normal3"/>
    <w:uiPriority w:val="2"/>
    <w:semiHidden/>
    <w:unhideWhenUsed/>
    <w:qFormat/>
    <w:rsid w:val="00A56420"/>
    <w:tblPr>
      <w:tblInd w:w="0" w:type="dxa"/>
      <w:tblCellMar>
        <w:top w:w="0" w:type="dxa"/>
        <w:left w:w="0" w:type="dxa"/>
        <w:bottom w:w="0" w:type="dxa"/>
        <w:right w:w="0" w:type="dxa"/>
      </w:tblCellMar>
    </w:tblPr>
  </w:style>
  <w:style w:type="paragraph" w:styleId="Sommario2">
    <w:name w:val="toc 2"/>
    <w:basedOn w:val="Normale"/>
    <w:next w:val="Normale"/>
    <w:autoRedefine/>
    <w:uiPriority w:val="39"/>
    <w:unhideWhenUsed/>
    <w:rsid w:val="00E613A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41471">
      <w:bodyDiv w:val="1"/>
      <w:marLeft w:val="0"/>
      <w:marRight w:val="0"/>
      <w:marTop w:val="0"/>
      <w:marBottom w:val="0"/>
      <w:divBdr>
        <w:top w:val="none" w:sz="0" w:space="0" w:color="auto"/>
        <w:left w:val="none" w:sz="0" w:space="0" w:color="auto"/>
        <w:bottom w:val="none" w:sz="0" w:space="0" w:color="auto"/>
        <w:right w:val="none" w:sz="0" w:space="0" w:color="auto"/>
      </w:divBdr>
    </w:div>
    <w:div w:id="441070645">
      <w:bodyDiv w:val="1"/>
      <w:marLeft w:val="0"/>
      <w:marRight w:val="0"/>
      <w:marTop w:val="0"/>
      <w:marBottom w:val="0"/>
      <w:divBdr>
        <w:top w:val="none" w:sz="0" w:space="0" w:color="auto"/>
        <w:left w:val="none" w:sz="0" w:space="0" w:color="auto"/>
        <w:bottom w:val="none" w:sz="0" w:space="0" w:color="auto"/>
        <w:right w:val="none" w:sz="0" w:space="0" w:color="auto"/>
      </w:divBdr>
    </w:div>
    <w:div w:id="1115978755">
      <w:bodyDiv w:val="1"/>
      <w:marLeft w:val="0"/>
      <w:marRight w:val="0"/>
      <w:marTop w:val="0"/>
      <w:marBottom w:val="0"/>
      <w:divBdr>
        <w:top w:val="none" w:sz="0" w:space="0" w:color="auto"/>
        <w:left w:val="none" w:sz="0" w:space="0" w:color="auto"/>
        <w:bottom w:val="none" w:sz="0" w:space="0" w:color="auto"/>
        <w:right w:val="none" w:sz="0" w:space="0" w:color="auto"/>
      </w:divBdr>
    </w:div>
    <w:div w:id="1393433032">
      <w:bodyDiv w:val="1"/>
      <w:marLeft w:val="0"/>
      <w:marRight w:val="0"/>
      <w:marTop w:val="0"/>
      <w:marBottom w:val="0"/>
      <w:divBdr>
        <w:top w:val="none" w:sz="0" w:space="0" w:color="auto"/>
        <w:left w:val="none" w:sz="0" w:space="0" w:color="auto"/>
        <w:bottom w:val="none" w:sz="0" w:space="0" w:color="auto"/>
        <w:right w:val="none" w:sz="0" w:space="0" w:color="auto"/>
      </w:divBdr>
    </w:div>
    <w:div w:id="1444692732">
      <w:bodyDiv w:val="1"/>
      <w:marLeft w:val="0"/>
      <w:marRight w:val="0"/>
      <w:marTop w:val="0"/>
      <w:marBottom w:val="0"/>
      <w:divBdr>
        <w:top w:val="none" w:sz="0" w:space="0" w:color="auto"/>
        <w:left w:val="none" w:sz="0" w:space="0" w:color="auto"/>
        <w:bottom w:val="none" w:sz="0" w:space="0" w:color="auto"/>
        <w:right w:val="none" w:sz="0" w:space="0" w:color="auto"/>
      </w:divBdr>
    </w:div>
    <w:div w:id="1467118497">
      <w:bodyDiv w:val="1"/>
      <w:marLeft w:val="0"/>
      <w:marRight w:val="0"/>
      <w:marTop w:val="0"/>
      <w:marBottom w:val="0"/>
      <w:divBdr>
        <w:top w:val="none" w:sz="0" w:space="0" w:color="auto"/>
        <w:left w:val="none" w:sz="0" w:space="0" w:color="auto"/>
        <w:bottom w:val="none" w:sz="0" w:space="0" w:color="auto"/>
        <w:right w:val="none" w:sz="0" w:space="0" w:color="auto"/>
      </w:divBdr>
    </w:div>
    <w:div w:id="1640762463">
      <w:bodyDiv w:val="1"/>
      <w:marLeft w:val="0"/>
      <w:marRight w:val="0"/>
      <w:marTop w:val="0"/>
      <w:marBottom w:val="0"/>
      <w:divBdr>
        <w:top w:val="none" w:sz="0" w:space="0" w:color="auto"/>
        <w:left w:val="none" w:sz="0" w:space="0" w:color="auto"/>
        <w:bottom w:val="none" w:sz="0" w:space="0" w:color="auto"/>
        <w:right w:val="none" w:sz="0" w:space="0" w:color="auto"/>
      </w:divBdr>
      <w:divsChild>
        <w:div w:id="142087024">
          <w:marLeft w:val="0"/>
          <w:marRight w:val="0"/>
          <w:marTop w:val="150"/>
          <w:marBottom w:val="0"/>
          <w:divBdr>
            <w:top w:val="single" w:sz="6" w:space="8" w:color="DDDDDD"/>
            <w:left w:val="single" w:sz="6" w:space="0" w:color="DDDDDD"/>
            <w:bottom w:val="single" w:sz="6" w:space="6" w:color="DDDDDD"/>
            <w:right w:val="single" w:sz="6" w:space="6" w:color="DDDDDD"/>
          </w:divBdr>
        </w:div>
        <w:div w:id="1166822708">
          <w:marLeft w:val="0"/>
          <w:marRight w:val="0"/>
          <w:marTop w:val="105"/>
          <w:marBottom w:val="0"/>
          <w:divBdr>
            <w:top w:val="none" w:sz="0" w:space="0" w:color="auto"/>
            <w:left w:val="none" w:sz="0" w:space="0" w:color="auto"/>
            <w:bottom w:val="none" w:sz="0" w:space="0" w:color="auto"/>
            <w:right w:val="none" w:sz="0" w:space="0" w:color="auto"/>
          </w:divBdr>
        </w:div>
        <w:div w:id="122309920">
          <w:marLeft w:val="105"/>
          <w:marRight w:val="105"/>
          <w:marTop w:val="75"/>
          <w:marBottom w:val="75"/>
          <w:divBdr>
            <w:top w:val="none" w:sz="0" w:space="0" w:color="auto"/>
            <w:left w:val="none" w:sz="0" w:space="0" w:color="auto"/>
            <w:bottom w:val="none" w:sz="0" w:space="0" w:color="auto"/>
            <w:right w:val="none" w:sz="0" w:space="0" w:color="auto"/>
          </w:divBdr>
        </w:div>
      </w:divsChild>
    </w:div>
    <w:div w:id="1789467209">
      <w:bodyDiv w:val="1"/>
      <w:marLeft w:val="0"/>
      <w:marRight w:val="0"/>
      <w:marTop w:val="0"/>
      <w:marBottom w:val="0"/>
      <w:divBdr>
        <w:top w:val="none" w:sz="0" w:space="0" w:color="auto"/>
        <w:left w:val="none" w:sz="0" w:space="0" w:color="auto"/>
        <w:bottom w:val="none" w:sz="0" w:space="0" w:color="auto"/>
        <w:right w:val="none" w:sz="0" w:space="0" w:color="auto"/>
      </w:divBdr>
    </w:div>
    <w:div w:id="2060392318">
      <w:bodyDiv w:val="1"/>
      <w:marLeft w:val="0"/>
      <w:marRight w:val="0"/>
      <w:marTop w:val="0"/>
      <w:marBottom w:val="0"/>
      <w:divBdr>
        <w:top w:val="none" w:sz="0" w:space="0" w:color="auto"/>
        <w:left w:val="none" w:sz="0" w:space="0" w:color="auto"/>
        <w:bottom w:val="none" w:sz="0" w:space="0" w:color="auto"/>
        <w:right w:val="none" w:sz="0" w:space="0" w:color="auto"/>
      </w:divBdr>
      <w:divsChild>
        <w:div w:id="1608850321">
          <w:marLeft w:val="0"/>
          <w:marRight w:val="0"/>
          <w:marTop w:val="0"/>
          <w:marBottom w:val="0"/>
          <w:divBdr>
            <w:top w:val="none" w:sz="0" w:space="0" w:color="auto"/>
            <w:left w:val="none" w:sz="0" w:space="0" w:color="auto"/>
            <w:bottom w:val="none" w:sz="0" w:space="0" w:color="auto"/>
            <w:right w:val="none" w:sz="0" w:space="0" w:color="auto"/>
          </w:divBdr>
          <w:divsChild>
            <w:div w:id="643387987">
              <w:marLeft w:val="0"/>
              <w:marRight w:val="0"/>
              <w:marTop w:val="0"/>
              <w:marBottom w:val="0"/>
              <w:divBdr>
                <w:top w:val="none" w:sz="0" w:space="0" w:color="auto"/>
                <w:left w:val="none" w:sz="0" w:space="0" w:color="auto"/>
                <w:bottom w:val="none" w:sz="0" w:space="0" w:color="auto"/>
                <w:right w:val="none" w:sz="0" w:space="0" w:color="auto"/>
              </w:divBdr>
              <w:divsChild>
                <w:div w:id="901719947">
                  <w:marLeft w:val="0"/>
                  <w:marRight w:val="0"/>
                  <w:marTop w:val="0"/>
                  <w:marBottom w:val="525"/>
                  <w:divBdr>
                    <w:top w:val="none" w:sz="0" w:space="0" w:color="auto"/>
                    <w:left w:val="none" w:sz="0" w:space="0" w:color="auto"/>
                    <w:bottom w:val="none" w:sz="0" w:space="0" w:color="auto"/>
                    <w:right w:val="none" w:sz="0" w:space="0" w:color="auto"/>
                  </w:divBdr>
                  <w:divsChild>
                    <w:div w:id="17958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69883">
          <w:marLeft w:val="0"/>
          <w:marRight w:val="0"/>
          <w:marTop w:val="0"/>
          <w:marBottom w:val="0"/>
          <w:divBdr>
            <w:top w:val="none" w:sz="0" w:space="0" w:color="auto"/>
            <w:left w:val="none" w:sz="0" w:space="0" w:color="auto"/>
            <w:bottom w:val="none" w:sz="0" w:space="0" w:color="auto"/>
            <w:right w:val="none" w:sz="0" w:space="0" w:color="auto"/>
          </w:divBdr>
          <w:divsChild>
            <w:div w:id="206724325">
              <w:marLeft w:val="0"/>
              <w:marRight w:val="0"/>
              <w:marTop w:val="0"/>
              <w:marBottom w:val="0"/>
              <w:divBdr>
                <w:top w:val="none" w:sz="0" w:space="0" w:color="auto"/>
                <w:left w:val="none" w:sz="0" w:space="0" w:color="auto"/>
                <w:bottom w:val="none" w:sz="0" w:space="0" w:color="auto"/>
                <w:right w:val="none" w:sz="0" w:space="0" w:color="auto"/>
              </w:divBdr>
              <w:divsChild>
                <w:div w:id="126047061">
                  <w:marLeft w:val="0"/>
                  <w:marRight w:val="0"/>
                  <w:marTop w:val="0"/>
                  <w:marBottom w:val="525"/>
                  <w:divBdr>
                    <w:top w:val="none" w:sz="0" w:space="0" w:color="auto"/>
                    <w:left w:val="none" w:sz="0" w:space="0" w:color="auto"/>
                    <w:bottom w:val="none" w:sz="0" w:space="0" w:color="auto"/>
                    <w:right w:val="none" w:sz="0" w:space="0" w:color="auto"/>
                  </w:divBdr>
                  <w:divsChild>
                    <w:div w:id="6608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0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manuelebrignole.it/wp-content/uploads/2017/05/EBS-nomina-RPCIT.pdf"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emanuelebrignole.it/amministrazione-trasparente/asp-decreto-rpcit-4-12-18/" TargetMode="External"/><Relationship Id="rId17" Type="http://schemas.openxmlformats.org/officeDocument/2006/relationships/hyperlink" Target="https://www.tuttitalia.it/liguria/45-genova/statistiche/indici-demografici-struttura-popolazion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aspemanuelebrignole.whistleblowing.i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manuelebrignole.it/amministrazione-trasparente/" TargetMode="External"/><Relationship Id="rId24" Type="http://schemas.openxmlformats.org/officeDocument/2006/relationships/hyperlink" Target="https://emanuelebrignole.it/wp-content/uploads/2017/06/ASP_EBS-Istanza-accesso-civico-generalizzato-e-semplice.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bosettiegatti.eu/info/norme/statali/2016_0097.htm" TargetMode="External"/><Relationship Id="rId28" Type="http://schemas.openxmlformats.org/officeDocument/2006/relationships/footer" Target="footer2.xml"/><Relationship Id="rId10" Type="http://schemas.openxmlformats.org/officeDocument/2006/relationships/hyperlink" Target="https://www.legislazionetecnica.it/lt_link/normativa/REJBTkFDMjBHMjAyMzI2NA=="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zionetecnica.it/lt_link/normativa/RExHMzYyMDIz" TargetMode="External"/><Relationship Id="rId14" Type="http://schemas.openxmlformats.org/officeDocument/2006/relationships/image" Target="media/image2.png"/><Relationship Id="rId22" Type="http://schemas.openxmlformats.org/officeDocument/2006/relationships/hyperlink" Target="http://www.bosettiegatti.eu/info/norme/statali/2016_0097.ht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1F2AC-0703-41A0-807C-CC6649A42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52</Pages>
  <Words>18665</Words>
  <Characters>106393</Characters>
  <Application>Microsoft Office Word</Application>
  <DocSecurity>0</DocSecurity>
  <Lines>886</Lines>
  <Paragraphs>249</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Ballero Dalla Dea</dc:creator>
  <cp:keywords/>
  <dc:description/>
  <cp:lastModifiedBy>Gian Luca Ballero Dalla Dea</cp:lastModifiedBy>
  <cp:revision>4</cp:revision>
  <cp:lastPrinted>2021-03-22T18:20:00Z</cp:lastPrinted>
  <dcterms:created xsi:type="dcterms:W3CDTF">2026-01-28T12:11:00Z</dcterms:created>
  <dcterms:modified xsi:type="dcterms:W3CDTF">2026-01-28T14:29:00Z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2017-01-31T00:00:00Z</vt:filetime>
  </property>
  <property fmtid="{D5CDD505-2E9C-101B-9397-08002B2CF9AE}" pid="3" name="Creator">
    <vt:lpwstr>Microsoft® Word 2010</vt:lpwstr>
  </property>
  <property fmtid="{D5CDD505-2E9C-101B-9397-08002B2CF9AE}" pid="4" name="LastSaved">
    <vt:filetime>2018-02-19T00:00:00Z</vt:filetime>
  </property>
</Properties>
</file>